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1.MEDŽIAGOS ARBA MIŠINIO IR BENDROVĖS ARBA ĮMONĖS IDENTIFIKAVIMAS</w:t>
            </w:r>
            <w:r w:rsidDel="00000000" w:rsidR="00000000" w:rsidRPr="00000000">
              <w:rPr>
                <w:rtl w:val="0"/>
              </w:rPr>
            </w:r>
          </w:p>
        </w:tc>
      </w:tr>
    </w:tbl>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50.0" w:type="dxa"/>
        <w:jc w:val="left"/>
        <w:tblLayout w:type="fixed"/>
        <w:tblLook w:val="0000"/>
      </w:tblPr>
      <w:tblGrid>
        <w:gridCol w:w="3179"/>
        <w:gridCol w:w="6171"/>
        <w:tblGridChange w:id="0">
          <w:tblGrid>
            <w:gridCol w:w="3179"/>
            <w:gridCol w:w="6171"/>
          </w:tblGrid>
        </w:tblGridChange>
      </w:tblGrid>
      <w:tr>
        <w:trPr>
          <w:cantSplit w:val="0"/>
          <w:tblHeader w:val="0"/>
        </w:trPr>
        <w:tc>
          <w:tcPr>
            <w:gridSpan w:val="2"/>
            <w:vAlign w:val="top"/>
          </w:tcPr>
          <w:p w:rsidR="00000000" w:rsidDel="00000000" w:rsidP="00000000" w:rsidRDefault="00000000" w:rsidRPr="00000000" w14:paraId="00000004">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Produkto identifikatorius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Prekinis pavadinimas:</w:t>
            </w:r>
          </w:p>
        </w:tc>
        <w:tc>
          <w:tcP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GLAISTAS LIGHT MICRO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Medžiagos ar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mišinio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nustatyti naudojimo būdai ir nerekomenduojami naudojimo būdai</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6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paskirtis:</w:t>
            </w:r>
          </w:p>
        </w:tc>
        <w:tc>
          <w:tcP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2" w:right="0" w:hanging="2592"/>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Glaistas skirtas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gipso kartono, tinkuotų, betoninių ir kitų mineralinių</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2" w:right="0" w:hanging="2592"/>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paviršių išlyginimui pastatų viduje prieš dažymą 1 – 5 klasės vandens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2" w:right="0" w:hanging="2592"/>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dispersiniais dažais ar tapetavimą. Rekomenduojamas baigiamajam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92" w:right="0" w:hanging="2592"/>
              <w:jc w:val="left"/>
              <w:rPr>
                <w:rFonts w:ascii="Times New Roman" w:cs="Times New Roman" w:eastAsia="Times New Roman" w:hAnsi="Times New Roman"/>
                <w:b w:val="0"/>
                <w:i w:val="0"/>
                <w:smallCaps w:val="0"/>
                <w:strike w:val="0"/>
                <w:color w:val="333333"/>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glaistymo sluoksniui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 Išsami informacija apie saugos duomenų lapo teikėją</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Gamintojas:</w:t>
            </w:r>
            <w:r w:rsidDel="00000000" w:rsidR="00000000" w:rsidRPr="00000000">
              <w:rPr>
                <w:rtl w:val="0"/>
              </w:rPr>
            </w:r>
          </w:p>
        </w:tc>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UAB „Pro colore“ </w:t>
            </w:r>
          </w:p>
        </w:tc>
      </w:tr>
      <w:tr>
        <w:trPr>
          <w:cantSplit w:val="0"/>
          <w:tblHeader w:val="0"/>
        </w:trPr>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Adresas:</w:t>
            </w:r>
          </w:p>
        </w:tc>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Rytų g.19, LT-70391, Virbalio Miesto Laukų k., Vilkaviškio r. sav., www.procolor.lt</w:t>
            </w:r>
          </w:p>
        </w:tc>
      </w:tr>
      <w:tr>
        <w:trPr>
          <w:cantSplit w:val="0"/>
          <w:tblHeader w:val="0"/>
        </w:trPr>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Telefonas, faksas:</w:t>
            </w:r>
          </w:p>
        </w:tc>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8 342 54290</w:t>
            </w:r>
          </w:p>
        </w:tc>
      </w:tr>
      <w:tr>
        <w:trPr>
          <w:cantSplit w:val="0"/>
          <w:tblHeader w:val="0"/>
        </w:trPr>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paštas:</w:t>
            </w:r>
          </w:p>
        </w:tc>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info</w:t>
            </w: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@procolor.lt</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ff"/>
                <w:sz w:val="20"/>
                <w:szCs w:val="20"/>
                <w:highlight w:val="green"/>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 Pagalbos telefono numeris</w:t>
            </w:r>
            <w:r w:rsidDel="00000000" w:rsidR="00000000" w:rsidRPr="00000000">
              <w:rPr>
                <w:rtl w:val="0"/>
              </w:rPr>
            </w:r>
          </w:p>
        </w:tc>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6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Pagalbos telefonas:</w:t>
            </w:r>
          </w:p>
        </w:tc>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Lietuvos apsinuodijimų kontrolės ir informacijos biuras visą parą: telefonas +370 5 236 20 52, mob. +370 687 53378</w:t>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GALIMI PAVOJAI</w:t>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350.0" w:type="dxa"/>
        <w:jc w:val="left"/>
        <w:tblLayout w:type="fixed"/>
        <w:tblLook w:val="0000"/>
      </w:tblPr>
      <w:tblGrid>
        <w:gridCol w:w="3366"/>
        <w:gridCol w:w="5984"/>
        <w:tblGridChange w:id="0">
          <w:tblGrid>
            <w:gridCol w:w="3366"/>
            <w:gridCol w:w="5984"/>
          </w:tblGrid>
        </w:tblGridChange>
      </w:tblGrid>
      <w:tr>
        <w:trPr>
          <w:cantSplit w:val="0"/>
          <w:tblHeader w:val="0"/>
        </w:trPr>
        <w:tc>
          <w:tcPr>
            <w:gridSpan w:val="2"/>
            <w:vAlign w:val="top"/>
          </w:tcPr>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2.1 Medžiagos ar mišinio klasifikavimas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2.1.1 Klasifikacija pagal reglamentą Nr. 1272/2008 (CLP)    </w:t>
            </w:r>
            <w:r w:rsidDel="00000000" w:rsidR="00000000" w:rsidRPr="00000000">
              <w:rPr>
                <w:rtl w:val="0"/>
              </w:rPr>
            </w:r>
          </w:p>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neklasifikuojamas kaip kenksmingas.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2.2. Ženklinimo elementai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Informacija, nurodyta pakuotės etiketėje)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2.2.1 Ženklinimas pagal reglamentą  Nr. 1272/2008 (CLP)</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Pavojaus piktogramos: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801"/>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tc>
      </w:tr>
      <w:tr>
        <w:trPr>
          <w:cantSplit w:val="0"/>
          <w:tblHeader w:val="0"/>
        </w:trPr>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Signalinis žodis:</w:t>
            </w:r>
            <w:r w:rsidDel="00000000" w:rsidR="00000000" w:rsidRPr="00000000">
              <w:rPr>
                <w:rtl w:val="0"/>
              </w:rPr>
            </w:r>
          </w:p>
        </w:tc>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frazė:</w:t>
            </w:r>
            <w:r w:rsidDel="00000000" w:rsidR="00000000" w:rsidRPr="00000000">
              <w:rPr>
                <w:rtl w:val="0"/>
              </w:rPr>
            </w:r>
          </w:p>
        </w:tc>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Atsargumo frazė dėl prevencijos:</w:t>
            </w:r>
            <w:r w:rsidDel="00000000" w:rsidR="00000000" w:rsidRPr="00000000">
              <w:rPr>
                <w:rtl w:val="0"/>
              </w:rPr>
            </w:r>
          </w:p>
        </w:tc>
        <w:tc>
          <w:tcP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P262 Saugotis, kad nepatektų į akis, ant odos ar drabužių.</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P301/ 310 Prarijus nedelsiant skambinti į apsinuodijimų kontrolės ir informacijos biurą arba kreiptis į gydytoją</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Atsargumo frazė dėl laikymo:</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 102 Laikyti vaikams neprieinamoje vietoje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Papildoma informacija apie pavojų</w:t>
            </w:r>
            <w:r w:rsidDel="00000000" w:rsidR="00000000" w:rsidRPr="00000000">
              <w:rPr>
                <w:rtl w:val="0"/>
              </w:rPr>
            </w:r>
          </w:p>
        </w:tc>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Ypatingos nuorodos:</w:t>
            </w:r>
            <w:r w:rsidDel="00000000" w:rsidR="00000000" w:rsidRPr="00000000">
              <w:rPr>
                <w:rtl w:val="0"/>
              </w:rPr>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EUH208 – Gali sukelti alerginę reakciją. Sudėtyje yra: 1,2-benzizotiazol-3(2H)-onas ir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2,2-dibrom-3-nitrilpropionamidas.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2.3 Kiti pavojai</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Glaisto sudėtyje kenksmingų medžiagų, ženklinamų pavojingumo frazėmis, kiekis neviršija minimalių leistinų ribų. Garai gali dirginti akis, burnos ir nosies gleivinę, patekus gali dirginti odą. Prarijus dirgina virškinimo traktą, gali sukelti pykinimą, viduriavimą. Nesušaldyti. </w:t>
            </w: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468.0" w:type="dxa"/>
        <w:jc w:val="righ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468"/>
        <w:tblGridChange w:id="0">
          <w:tblGrid>
            <w:gridCol w:w="9468"/>
          </w:tblGrid>
        </w:tblGridChange>
      </w:tblGrid>
      <w:tr>
        <w:trPr>
          <w:cantSplit w:val="0"/>
          <w:tblHeader w:val="0"/>
        </w:trPr>
        <w:tc>
          <w:tcPr>
            <w:shd w:fill="e6e6e6" w:val="clea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SUDĖTIS ARBA INFORMACIJA APIE SUDEDAMĄSIAS DALIS</w:t>
            </w: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3.2 Mišinys: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Vandeniu skiedžiamas mišinys iš vandeninių stireno-akrilinių polimerinių dispersijų, užpildų, pigmentų, technologinių priedų.</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Pavojingi komponentai:</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bl>
      <w:tblPr>
        <w:tblStyle w:val="Table6"/>
        <w:tblW w:w="9314.0" w:type="dxa"/>
        <w:jc w:val="left"/>
        <w:tblInd w:w="41.9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59"/>
        <w:gridCol w:w="2410"/>
        <w:gridCol w:w="1701"/>
        <w:gridCol w:w="1701"/>
        <w:gridCol w:w="1843"/>
        <w:tblGridChange w:id="0">
          <w:tblGrid>
            <w:gridCol w:w="1659"/>
            <w:gridCol w:w="2410"/>
            <w:gridCol w:w="1701"/>
            <w:gridCol w:w="1701"/>
            <w:gridCol w:w="1843"/>
          </w:tblGrid>
        </w:tblGridChange>
      </w:tblGrid>
      <w:tr>
        <w:trPr>
          <w:cantSplit w:val="1"/>
          <w:trHeight w:val="224" w:hRule="atLeast"/>
          <w:tblHeader w:val="0"/>
        </w:trPr>
        <w:tc>
          <w:tcPr>
            <w:vMerge w:val="restart"/>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CAS Nr.</w:t>
            </w:r>
          </w:p>
        </w:tc>
        <w:tc>
          <w:tcPr>
            <w:vMerge w:val="restart"/>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Pavadinimas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Koncentracija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(masės %)</w:t>
            </w:r>
          </w:p>
        </w:tc>
        <w:tc>
          <w:tcPr>
            <w:gridSpan w:val="2"/>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Klasifikacija</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w:t>
            </w:r>
          </w:p>
        </w:tc>
      </w:tr>
      <w:tr>
        <w:trPr>
          <w:cantSplit w:val="1"/>
          <w:trHeight w:val="224" w:hRule="atLeast"/>
          <w:tblHeader w:val="0"/>
        </w:trPr>
        <w:tc>
          <w:tcPr>
            <w:vMerge w:val="continue"/>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Pavojingumo klasė ir kategorija</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Pavojingumo frazė</w:t>
            </w:r>
          </w:p>
        </w:tc>
      </w:tr>
      <w:tr>
        <w:trPr>
          <w:cantSplit w:val="0"/>
          <w:trHeight w:val="750" w:hRule="atLeast"/>
          <w:tblHeader w:val="0"/>
        </w:trPr>
        <w:tc>
          <w:tcP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CAS 2634-33-5</w:t>
            </w:r>
          </w:p>
        </w:tc>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1,2-benzisotiazol-3(2H)-onas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&lt; 0,05</w:t>
            </w:r>
          </w:p>
        </w:tc>
        <w:tc>
          <w:tcP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4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Skin Irrit. 2</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Eye Dam. 1</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Skin Sens. 1</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Aquatic Acute 1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H301</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H315</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H318</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H317</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H400</w:t>
            </w:r>
          </w:p>
        </w:tc>
      </w:tr>
      <w:tr>
        <w:trPr>
          <w:cantSplit w:val="0"/>
          <w:trHeight w:val="750" w:hRule="atLeast"/>
          <w:tblHeader w:val="0"/>
        </w:trPr>
        <w:tc>
          <w:tcP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CAS 10222-01-2</w:t>
            </w:r>
          </w:p>
        </w:tc>
        <w:tc>
          <w:tcP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2,2-dibrom-3-</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nitrilpropionamidas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&lt;0,0023</w:t>
            </w:r>
          </w:p>
        </w:tc>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4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2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Skin Irrit. 2</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Skin Sens. 1</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Eye Dam. 1</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Aquatic acute 1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Aquatic Chronic 2 </w:t>
            </w:r>
            <w:r w:rsidDel="00000000" w:rsidR="00000000" w:rsidRPr="00000000">
              <w:rPr>
                <w:rtl w:val="0"/>
              </w:rPr>
            </w:r>
          </w:p>
        </w:tc>
        <w:tc>
          <w:tcP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H302</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H330</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H315</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H317</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H318</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H400</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H411</w:t>
            </w: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Pavojingumo simbolių, klasių, rizikos ir pavojingumo frazių bei kitų žymenų tekstai pateikti 16 sk.</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Gamintojas deklaruoja, kad kitų, neįvardintų šioje lentelėje, komponentų, žymimų rizikos ir pavojingumo frazėmis, kiekis neviršija minimalių leistinų ribų.</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0e0e0" w:val="clea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PIRMOSIOS PAGALBOS PRIEMONĖS</w:t>
            </w:r>
            <w:r w:rsidDel="00000000" w:rsidR="00000000" w:rsidRPr="00000000">
              <w:rPr>
                <w:rtl w:val="0"/>
              </w:rPr>
            </w:r>
          </w:p>
        </w:tc>
      </w:tr>
    </w:tb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350.0" w:type="dxa"/>
        <w:jc w:val="left"/>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08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4.1 Pirmosios pagalbos priemonių aprašymas</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 informacija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Poveikis galimas įkvėpus, patekus ant odos ir į akis. Laikytis saugaus naudojimo taisyklių, pateiktų etiketėje. Visais atvejais, kai pasireiškia sveikatos pakenkimo požymiai ar kyla dėl to abejonių, nedelsiant kreiptis į gydytoją. Gydytojui parodyti pakuotę ar jos etiketę.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į akis: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Nedelsiant praplauti akis gausiai švariu tekančiu vandeniu ne trumpiau kaip 15 min. pakėlus vokus. Jei naudojami kontaktiniai lęšiai, juos nuimti. Konsultuotis su gydytoju.</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ant odos: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Odą gausiai plauti vandeniu su muilu. Praskalauti grynu vandeniu. Nenaudoti tirpiklių ir skiediklių. Esant ilgalaikiam odos dirginimui, kreiptis į gydytoją.</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Įkvėpus: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Įkvėpusį garų ar aerozolio ir dėl to blogai pasijutusį nukentėjusįjį išvesti į gryną orą, šiltai pridengti. Pasunkėjus kvėpavimui, kviesti gydytoją</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Prarijus: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Atsitiktinai prarijus, praplauti burną vandeniu, duoti išgerti 2 stiklines vandens. Nesukelti vėmimo. Esant sveikatos pakenkimo simptomams,  kreiptis į gydytoją</w:t>
            </w:r>
          </w:p>
        </w:tc>
      </w:tr>
    </w:tb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9"/>
        <w:tblW w:w="9350.0" w:type="dxa"/>
        <w:jc w:val="left"/>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0A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4.2 Svarbiausi simptomai ir poveikis (ūmus ir uždelstas)</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4.3 Nurodymas apie bet kokios neatidėliotinos medicinos pagalbos ir specialaus gydymo reikalingumą </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Specialaus gydymo nėra. Taikyti gydymą pagal simptomus.</w:t>
            </w:r>
          </w:p>
        </w:tc>
      </w:tr>
    </w:tb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0"/>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PRIEŠGAISRINĖS PRIEMONĖS</w:t>
            </w:r>
          </w:p>
        </w:tc>
      </w:tr>
    </w:tb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1"/>
        <w:tblW w:w="9350.0" w:type="dxa"/>
        <w:jc w:val="left"/>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5.1 Gesinimo priemonės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Tinkamos gaisro gesinimo priemonės: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nedegus. Gaisro metu, priklausomai nuo prigimties, gali būti naudojami gesinimo milteliai, alkoholiui atsparios putos,</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CO2, arba vandens rūkas.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Netinkamos gaisro gesinimo priemonės: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5.2 Specialūs mišinio keliami pavojai</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Neįkvėpti garų. Gaisro metu išdžiūvusi plėvelė gali degti. Degant, aukštoje temperatūroje gali susidaryti kenksmingi skilimo produktai (CO, CO2, 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dūmai.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5.3 Patarimai gaisrininkams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Gaisro metu pakuotes šaldyti vandeniu, esant galimybei, pašalinti talpas iš pavojaus zonos. Neleisti gaisro gesinimo skysčiams patekti į kanalizaciją ir vandens šaltinius. Kaip ir bet kurio gaisro metu, naudoti kvėpavimo takų apsaugos priemones., neįkvėpti dūmų</w:t>
            </w:r>
          </w:p>
        </w:tc>
      </w:tr>
    </w:tb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AVARIJŲ LIKVIDAVIMO PRIEMONĖS</w:t>
            </w:r>
          </w:p>
        </w:tc>
      </w:tr>
    </w:tb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3"/>
        <w:tblW w:w="9350.0" w:type="dxa"/>
        <w:jc w:val="left"/>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6.1 Asmens atsargumo priemonės, apsaugos priemonės ir skubios pagalbos procedūros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Vengti patekimo ant odos, drabužių ir į akis. Garai gali dirginti akis, gerklę, nosies gleivinę ir viršutinius kvėpavimo takus. Mišiniui išsiliejus užtikrinti tinkamą vėdinimą. Likviduojant avarijos pasekmes, naudoti tinkamus apsauginius drabužius, akių, veido ir kvėpavimo takų apsaugos priemones.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6.2 Ekologinės atsargumo priemonės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Neleisti produktui patekti į dirvožemį, vandens telkinius ar kanalizaciją Teršalams patekus į aplinką, informuoti regioninius aplinkos apsaugos darbuotojus.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6.3 Izoliavimo ir valymo procedūros bei priemonės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Išsiliejusį produktą užpilti inertinėmis surišančiomis medžiagomis (smėliu, žvyru, vermikulitu), surinkti į specialias surinkimo talpas šalinimui.  Šalinti pagal kenksmingų medžiagų šalinimo taisykles.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6.4 Nuoroda į kitus skirsnius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Informacija apie individualias apsaugos priemones 8 skirsnyje. Atliekų šalinimo reikalavimai 13 skirsnyje.</w:t>
            </w:r>
          </w:p>
        </w:tc>
      </w:tr>
    </w:tb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4"/>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225" w:hRule="atLeast"/>
          <w:tblHeader w:val="0"/>
        </w:trPr>
        <w:tc>
          <w:tcPr>
            <w:shd w:fill="e6e6e6" w:val="clea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NAUDOJIMAS IR SANDĖLIAVIMAS</w:t>
            </w:r>
          </w:p>
        </w:tc>
      </w:tr>
    </w:tb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5"/>
        <w:tblW w:w="9350.0" w:type="dxa"/>
        <w:jc w:val="left"/>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7.1 Su saugiu tvarkymu susijusios atsargumo priemonės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nedegus ir nesprogus. Naudoti gerai vėdinamoje patalpoje. Laikantis naudojimo instrukcijų, specialios apsaugos priemonės nėra būtinos. Vengti patekimo ant odos ir į akis. Neįkvėpti garų, aerozolių, nepraryti. Dėvėti tinkamus apsauginius drabužius, mūvėti tinkamas pirštines ir naudoti akių (veido) apsaugos priemones. Išsiliejus, grindys yra slidžios. Laikytis bendrų higienos reikalavimų, darbo metu nevalgyti, negerti ir nerūkyti. Plauti rankas prieš pertraukas ir po darbo. Griežtai laikytis naudojimo instrukcijos ir saugos duomenų lapų reikalavimų. Šlifuojant išdžiūvusią dangą, dėvėti respiratorius, neįkvėpti šlifavimo dulkių.</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7.2 Saugaus sandėliavimo sąlygos, įskaitant visus nesuderinamumus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 iki +30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7.3 Konkretus galutinio naudojimo būdas</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pagal instrukciją, pateiktą ant pakuotės ar techninių duomenų lape.</w:t>
            </w:r>
            <w:r w:rsidDel="00000000" w:rsidR="00000000" w:rsidRPr="00000000">
              <w:rPr>
                <w:rtl w:val="0"/>
              </w:rPr>
            </w:r>
          </w:p>
        </w:tc>
      </w:tr>
    </w:tb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6"/>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POVEIKIO PREVENCIJA / ASMENS APSAUGA</w:t>
            </w:r>
          </w:p>
        </w:tc>
      </w:tr>
    </w:tb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7"/>
        <w:tblW w:w="9350.0" w:type="dxa"/>
        <w:jc w:val="left"/>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8.1 Kontrolės parametrai</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Kontroliuojami komponentai / ribinės leistinos vertės darbo aplinkos ore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taikoma</w:t>
            </w:r>
          </w:p>
        </w:tc>
      </w:tr>
    </w:tbl>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bl>
      <w:tblPr>
        <w:tblStyle w:val="Table18"/>
        <w:tblW w:w="9350.0" w:type="dxa"/>
        <w:jc w:val="left"/>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 Poveikio kontrolė</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8.2.1 Techninės priemonės: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bendrai priimtų saugumo reikalavimų, keliamų dirbant su cheminėmis medžiagomis. Užtikrinti tinkamą ventiliaciją, vengti patekimo ant odos ir į akis.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8.2.2 Asmeninės apsauginės priemonės: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Kvėpavimo takų apsauga: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Nesant galimybės užtikrinti gerą ventiliaciją, naudoti tinkamas individualias kvėpavimo takų apsaugos priemones, kol išnyks aplinkos užterštumas.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Rankų apsauga:</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Patekus ant odos, plauti vandeniu su muilu. Tepti odą apsauginiais kremais. Kremo nenaudoti jau esant pažeistai odai. Esant ilgam ar pakartotinam kontaktui, naudoti apsaugines darbines pirštines.</w:t>
            </w:r>
          </w:p>
        </w:tc>
      </w:tr>
    </w:tb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bl>
      <w:tblPr>
        <w:tblStyle w:val="Table19"/>
        <w:tblW w:w="9350.0" w:type="dxa"/>
        <w:jc w:val="left"/>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Akių apsauga: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prigludusius, nerasojančius, apsauginius akinius.</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Kūno apsauga:</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Lengvi apsauginiai neperšlampantys darbo drabužiai. Patekus ant odos –  nuplauti vandeniu su muilu.</w:t>
            </w:r>
          </w:p>
        </w:tc>
      </w:tr>
      <w:tr>
        <w:trPr>
          <w:cantSplit w:val="0"/>
          <w:tblHeader w:val="0"/>
        </w:trPr>
        <w:tc>
          <w:tcPr>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Aplinkos apsauga:</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regioninių aplinkos apsaugos reikalavimų.</w:t>
            </w:r>
          </w:p>
        </w:tc>
      </w:tr>
    </w:tb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0"/>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FIZIKINĖS IR CHEMINĖS SAVYBĖS</w:t>
            </w:r>
          </w:p>
        </w:tc>
      </w:tr>
    </w:tbl>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tbl>
      <w:tblPr>
        <w:tblStyle w:val="Table21"/>
        <w:tblW w:w="9350.0" w:type="dxa"/>
        <w:jc w:val="left"/>
        <w:tblLayout w:type="fixed"/>
        <w:tblLook w:val="0000"/>
      </w:tblPr>
      <w:tblGrid>
        <w:gridCol w:w="4301"/>
        <w:gridCol w:w="5049"/>
        <w:tblGridChange w:id="0">
          <w:tblGrid>
            <w:gridCol w:w="4301"/>
            <w:gridCol w:w="5049"/>
          </w:tblGrid>
        </w:tblGridChange>
      </w:tblGrid>
      <w:tr>
        <w:trPr>
          <w:cantSplit w:val="0"/>
          <w:tblHeader w:val="0"/>
        </w:trPr>
        <w:tc>
          <w:tcPr>
            <w:gridSpan w:val="2"/>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9.1 Informacija apie pagrindines fizikines ir chemines savybes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Išvaizda:</w:t>
            </w:r>
            <w:r w:rsidDel="00000000" w:rsidR="00000000" w:rsidRPr="00000000">
              <w:rPr>
                <w:rtl w:val="0"/>
              </w:rPr>
            </w:r>
          </w:p>
        </w:tc>
        <w:tc>
          <w:tcPr>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Agregatinė būsena:</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Klampi pasta</w:t>
            </w:r>
          </w:p>
        </w:tc>
      </w:tr>
      <w:tr>
        <w:trPr>
          <w:cantSplit w:val="0"/>
          <w:tblHeader w:val="0"/>
        </w:trPr>
        <w:tc>
          <w:tcP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Spalva:</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Įvairios spalvos</w:t>
            </w:r>
          </w:p>
        </w:tc>
      </w:tr>
      <w:tr>
        <w:trPr>
          <w:cantSplit w:val="0"/>
          <w:tblHeader w:val="0"/>
        </w:trPr>
        <w:tc>
          <w:tcP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Kvapas:</w:t>
            </w:r>
            <w:r w:rsidDel="00000000" w:rsidR="00000000" w:rsidRPr="00000000">
              <w:rPr>
                <w:rtl w:val="0"/>
              </w:rPr>
            </w:r>
          </w:p>
        </w:tc>
        <w:tc>
          <w:tcP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Silpnas kvapas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Vandenilio jonų koncentracijos vertė, pH:</w:t>
            </w:r>
          </w:p>
        </w:tc>
        <w:tc>
          <w:tcP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tc>
      </w:tr>
    </w:tbl>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2"/>
        <w:tblW w:w="9350.0" w:type="dxa"/>
        <w:jc w:val="left"/>
        <w:tblLayout w:type="fixed"/>
        <w:tblLook w:val="0000"/>
      </w:tblPr>
      <w:tblGrid>
        <w:gridCol w:w="4301"/>
        <w:gridCol w:w="5049"/>
        <w:tblGridChange w:id="0">
          <w:tblGrid>
            <w:gridCol w:w="4301"/>
            <w:gridCol w:w="5049"/>
          </w:tblGrid>
        </w:tblGridChange>
      </w:tblGrid>
      <w:tr>
        <w:trPr>
          <w:cantSplit w:val="0"/>
          <w:tblHeader w:val="0"/>
        </w:trPr>
        <w:tc>
          <w:tcP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Virimo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ar virimo temperatūros intervalas:</w:t>
            </w:r>
            <w:r w:rsidDel="00000000" w:rsidR="00000000" w:rsidRPr="00000000">
              <w:rPr>
                <w:rtl w:val="0"/>
              </w:rPr>
            </w:r>
          </w:p>
        </w:tc>
        <w:tc>
          <w:tcP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bl>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3"/>
        <w:tblW w:w="9350.0" w:type="dxa"/>
        <w:jc w:val="left"/>
        <w:tblLayout w:type="fixed"/>
        <w:tblLook w:val="0000"/>
      </w:tblPr>
      <w:tblGrid>
        <w:gridCol w:w="4301"/>
        <w:gridCol w:w="5049"/>
        <w:tblGridChange w:id="0">
          <w:tblGrid>
            <w:gridCol w:w="4301"/>
            <w:gridCol w:w="5049"/>
          </w:tblGrid>
        </w:tblGridChange>
      </w:tblGrid>
      <w:tr>
        <w:trPr>
          <w:cantSplit w:val="0"/>
          <w:tblHeader w:val="0"/>
        </w:trPr>
        <w:tc>
          <w:tcP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Degumas: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Nedegus</w:t>
            </w:r>
          </w:p>
        </w:tc>
      </w:tr>
      <w:tr>
        <w:trPr>
          <w:cantSplit w:val="0"/>
          <w:tblHeader w:val="0"/>
        </w:trPr>
        <w:tc>
          <w:tcP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Savaiminio užsiliepsnojimo temperatūra,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 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r>
        <w:trPr>
          <w:cantSplit w:val="0"/>
          <w:tblHeader w:val="0"/>
        </w:trPr>
        <w:tc>
          <w:tcP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Pliūpsnio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tc>
      </w:tr>
      <w:tr>
        <w:trPr>
          <w:cantSplit w:val="0"/>
          <w:tblHeader w:val="0"/>
        </w:trPr>
        <w:tc>
          <w:tcP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Sprogumo ribos:</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Užšalimo/ lydymosi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Užšąla neigiamose temperatūrose </w:t>
            </w:r>
          </w:p>
        </w:tc>
      </w:tr>
      <w:tr>
        <w:trPr>
          <w:cantSplit w:val="0"/>
          <w:tblHeader w:val="0"/>
        </w:trPr>
        <w:tc>
          <w:tcP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Panaudojimo temperatūra:</w:t>
            </w:r>
          </w:p>
        </w:tc>
        <w:tc>
          <w:tcPr>
            <w:vAlign w:val="top"/>
          </w:tcPr>
          <w:p w:rsidR="00000000" w:rsidDel="00000000" w:rsidP="00000000" w:rsidRDefault="00000000" w:rsidRPr="00000000" w14:paraId="0000011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nuo +5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iki +30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Garų slėgis, kPa:</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Specifinė masė, tankis,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g/cm</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1,03</w:t>
            </w:r>
          </w:p>
        </w:tc>
      </w:tr>
      <w:tr>
        <w:trPr>
          <w:cantSplit w:val="0"/>
          <w:tblHeader w:val="0"/>
        </w:trPr>
        <w:tc>
          <w:tcP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Klampumas:</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Klampi pasta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150000 mPa·s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(viskozimetras: kūgis ir diskas; diskas-R7 greitis-3)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Tirpumas (vandenyje):</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Netirpus, skiedžiamas vandeniu</w:t>
            </w:r>
          </w:p>
        </w:tc>
      </w:tr>
      <w:tr>
        <w:trPr>
          <w:cantSplit w:val="0"/>
          <w:tblHeader w:val="0"/>
        </w:trPr>
        <w:tc>
          <w:tcP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Pasiskirstymo koeficientas</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(n-oktanolis/vanduo):</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duomenų</w:t>
            </w:r>
          </w:p>
        </w:tc>
      </w:tr>
      <w:tr>
        <w:trPr>
          <w:cantSplit w:val="0"/>
          <w:tblHeader w:val="0"/>
        </w:trPr>
        <w:tc>
          <w:tcP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Garavimo greitis:</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Lėtesnis už eterio</w:t>
            </w:r>
          </w:p>
        </w:tc>
      </w:tr>
      <w:tr>
        <w:trPr>
          <w:cantSplit w:val="0"/>
          <w:tblHeader w:val="0"/>
        </w:trPr>
        <w:tc>
          <w:tcPr>
            <w:gridSpan w:val="2"/>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9.2 Kita informacija:</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kitos informacijos</w:t>
            </w:r>
          </w:p>
        </w:tc>
      </w:tr>
    </w:tb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4"/>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STABILUMAS IR REAKTINGUMAS</w:t>
            </w:r>
          </w:p>
        </w:tc>
      </w:tr>
    </w:tbl>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5"/>
        <w:tblW w:w="9350.0" w:type="dxa"/>
        <w:jc w:val="left"/>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10.1 Reaktingumas</w:t>
            </w:r>
          </w:p>
        </w:tc>
      </w:tr>
      <w:tr>
        <w:trPr>
          <w:cantSplit w:val="0"/>
          <w:tblHeader w:val="0"/>
        </w:trPr>
        <w:tc>
          <w:tcPr>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Laikantis naudojimo taisyklių nereaktingas</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10.2 Cheminis stabilumas</w:t>
            </w:r>
          </w:p>
        </w:tc>
      </w:tr>
      <w:tr>
        <w:trPr>
          <w:cantSplit w:val="0"/>
          <w:tblHeader w:val="0"/>
        </w:trPr>
        <w:tc>
          <w:tcPr>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Stabilus  rekomenduojamomis laikymo sąlygomis</w:t>
            </w:r>
            <w:r w:rsidDel="00000000" w:rsidR="00000000" w:rsidRPr="00000000">
              <w:rPr>
                <w:rtl w:val="0"/>
              </w:rPr>
            </w:r>
          </w:p>
        </w:tc>
      </w:tr>
    </w:tbl>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6"/>
        <w:tblW w:w="9350.0" w:type="dxa"/>
        <w:jc w:val="left"/>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10.3 Pavojingų reakcijų galimybė</w:t>
            </w:r>
          </w:p>
        </w:tc>
      </w:tr>
      <w:tr>
        <w:trPr>
          <w:cantSplit w:val="0"/>
          <w:tblHeader w:val="0"/>
        </w:trPr>
        <w:tc>
          <w:tcPr>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Pavojingos reakcijos nežinomos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10.4 Vengtinos sąlygos</w:t>
            </w:r>
          </w:p>
        </w:tc>
      </w:tr>
      <w:tr>
        <w:trPr>
          <w:cantSplit w:val="0"/>
          <w:tblHeader w:val="0"/>
        </w:trPr>
        <w:tc>
          <w:tcPr>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 vėsioje patalpoje, vengti aukštesnės temperatūros, tiesioginių saulės spindulių. Nesušaldyti</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10.5 Nesuderinamos medžiagos</w:t>
            </w:r>
          </w:p>
        </w:tc>
      </w:tr>
      <w:tr>
        <w:trPr>
          <w:cantSplit w:val="0"/>
          <w:tblHeader w:val="0"/>
        </w:trPr>
        <w:tc>
          <w:tcPr>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Nelaikyti kartu su stipriomis rūgštimis, šarmais  ir oksiduojančiomis medžiagomis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10.6 Pavojingi skilimo produktai</w:t>
            </w:r>
          </w:p>
        </w:tc>
      </w:tr>
      <w:tr>
        <w:trPr>
          <w:cantSplit w:val="0"/>
          <w:tblHeader w:val="0"/>
        </w:trPr>
        <w:tc>
          <w:tcPr>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Normaliose sąlygose neskyla. Gaisro metu išdžiūvusi plėvelė gali degti. Degimo metu gali išsiskirti tiršti dūmai, turintys kenksmingų anglies oksidų (CO, 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bl>
      <w:tblPr>
        <w:tblStyle w:val="Table27"/>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TOKSIKOLOGINĖ INFORMACIJA</w:t>
            </w:r>
          </w:p>
        </w:tc>
      </w:tr>
    </w:tbl>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tbl>
      <w:tblPr>
        <w:tblStyle w:val="Table28"/>
        <w:tblW w:w="9350.0" w:type="dxa"/>
        <w:jc w:val="left"/>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11.1 Informacija apie toksinį poveikį</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Sudirginimas: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jautriems asmenims bei ilgai trunkantis sąlytis su oda gali sukelti odos ir akių dirgnimą.</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Bendras kvėpavimo takų ar odos jautrinimas: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sudėtyje yra: 1,2-benzizotiazol-3(2H)-onas ir 2,2-dibrom-3-nitrilpropionamidas – gali sukelti alerginę reakciją.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Kancerogeniškumas: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Mutageniškumas: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Reprodukcinis toksiškumas: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Narkotinis poveikis: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Įkvėpus: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šis mišinys, jį naudojant tinkama įranga ir rekomenduotomis sąlygomis, negali sukelti jokių sveikatos sutrikimų. Jautriems asmenims ilgalaikis kvėpavimas dažų garais gali sukelti akių or kvėpavimo takų sudirginimą.</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Prarijus: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priklausomai nuo kiekio gali būti sudirginta virškinimo trakto gleivinė. Nurodytas didesnis produkto kiekis gali sukelti negalavimą ir gastroenterologinius sutrikimus, paireiškiančius vėmimu ir pilvo skausmais.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Patekus į akis: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skysčio purslai gali sukelti akių sudirginimą.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Per odą:</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pakartotinai ar ilgai veikiant gali sudirginti odą, oda gali sausėti, pleiskanoti</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29"/>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vAlign w:val="top"/>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EKOLOGINĖ INFORMACIJA</w:t>
            </w:r>
          </w:p>
        </w:tc>
      </w:tr>
    </w:tbl>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0"/>
        <w:tblW w:w="9350.0" w:type="dxa"/>
        <w:jc w:val="left"/>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12.1 Toksiškumas</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klasifikuojamas kaip nekenksmingas aplinkai. Laikantis gamtosaugos reikalavimų, produkto neišleisti į aplinką, dirvą, vandens šaltinius ir  kanalizaciją. Daugiau informacijos 2 ir 3 skirsnyje.</w:t>
            </w:r>
            <w:r w:rsidDel="00000000" w:rsidR="00000000" w:rsidRPr="00000000">
              <w:rPr>
                <w:rtl w:val="0"/>
              </w:rPr>
            </w:r>
          </w:p>
        </w:tc>
      </w:tr>
    </w:tbl>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31"/>
        <w:tblW w:w="9350.0" w:type="dxa"/>
        <w:jc w:val="left"/>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12.2 Patvarumas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12.3 Bioakumuliacijos potencialas</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12.4 Judrumas dirvožemyje</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12.5 PBT ir vPvB vertinimo rezultatai</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Produktas netenkina nurodytų kriterijų</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12.6 Kitas nepageidaujamas poveikis</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vAlign w:val="top"/>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ATLIEKŲ TVARKYMAS</w:t>
            </w:r>
          </w:p>
        </w:tc>
      </w:tr>
    </w:tbl>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3"/>
        <w:tblW w:w="9350.0" w:type="dxa"/>
        <w:jc w:val="left"/>
        <w:tblLayout w:type="fixed"/>
        <w:tblLook w:val="0000"/>
      </w:tblPr>
      <w:tblGrid>
        <w:gridCol w:w="9350"/>
        <w:tblGridChange w:id="0">
          <w:tblGrid>
            <w:gridCol w:w="9350"/>
          </w:tblGrid>
        </w:tblGridChange>
      </w:tblGrid>
      <w:tr>
        <w:trPr>
          <w:cantSplit w:val="0"/>
          <w:trHeight w:val="192" w:hRule="atLeast"/>
          <w:tblHeader w:val="0"/>
        </w:trPr>
        <w:tc>
          <w:tcPr>
            <w:vAlign w:val="top"/>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13.1 Atliekų tvarkymo metodai</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Produkto neišleisti į kanalizaciją dirvą ir vandens šaltinius. Negalima šalinti kartu su buitinėmis atliekomis. Mišinio atliekos šalinamos pagal regioninius atliekų šalinimo reikalavimus.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atliekų kodas: 08 01 12 (dažų ir lako atliekos, nenurodytos 08 01 11)</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Jei produktas sukietėjęs ar sumaišytas su kitomis atliekomis, šis kodas netaikomas.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Pakuotės atliekų kodas 15 01 02</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Dėl papildomos informacijos kreiptis į regioninius aplinkos apsaugos darbuotojus.</w:t>
            </w:r>
            <w:r w:rsidDel="00000000" w:rsidR="00000000" w:rsidRPr="00000000">
              <w:rPr>
                <w:rtl w:val="0"/>
              </w:rPr>
            </w:r>
          </w:p>
        </w:tc>
      </w:tr>
    </w:tbl>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4"/>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vAlign w:val="top"/>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INFORMACIJA APIE GABENIMĄ</w:t>
            </w:r>
          </w:p>
        </w:tc>
      </w:tr>
    </w:tbl>
    <w:p w:rsidR="00000000" w:rsidDel="00000000" w:rsidP="00000000" w:rsidRDefault="00000000" w:rsidRPr="00000000" w14:paraId="0000019A">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nepriskiriamas pavojingų medžiagų kategorijai pagal transporto taisyklių nuostatas. Transportuojama uždarose pakuotėse, vertikalioje padėtyje. Vežėjai turi būti supažindinti su saugos reikalavimais avarijų atveju, išsiliejus produktui.</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bl>
      <w:tblPr>
        <w:tblStyle w:val="Table35"/>
        <w:tblW w:w="9350.0" w:type="dxa"/>
        <w:jc w:val="left"/>
        <w:tblLayout w:type="fixed"/>
        <w:tblLook w:val="0000"/>
      </w:tblPr>
      <w:tblGrid>
        <w:gridCol w:w="3740"/>
        <w:gridCol w:w="5610"/>
        <w:tblGridChange w:id="0">
          <w:tblGrid>
            <w:gridCol w:w="3740"/>
            <w:gridCol w:w="5610"/>
          </w:tblGrid>
        </w:tblGridChange>
      </w:tblGrid>
      <w:tr>
        <w:trPr>
          <w:cantSplit w:val="0"/>
          <w:tblHeader w:val="0"/>
        </w:trPr>
        <w:tc>
          <w:tcPr>
            <w:gridSpan w:val="2"/>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ADR/RID, IMDG, IATA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klasifikacijos ir kodų nėra</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14.1 JT numeris:</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14.2 JT teisingas krovinio pavadinimas:</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14.3 Gabenimo pavojingumo klasė (s):</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14.4 Pakuotės grupė:</w:t>
            </w:r>
            <w:r w:rsidDel="00000000" w:rsidR="00000000" w:rsidRPr="00000000">
              <w:rPr>
                <w:rtl w:val="0"/>
              </w:rPr>
            </w:r>
          </w:p>
        </w:tc>
        <w:tc>
          <w:tcPr>
            <w:vAlign w:val="top"/>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14.5 Pavojus aplinkai:   </w:t>
            </w:r>
          </w:p>
        </w:tc>
        <w:tc>
          <w:tcPr>
            <w:vAlign w:val="top"/>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r w:rsidDel="00000000" w:rsidR="00000000" w:rsidRPr="00000000">
              <w:rPr>
                <w:rtl w:val="0"/>
              </w:rPr>
            </w:r>
          </w:p>
        </w:tc>
      </w:tr>
    </w:tbl>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36"/>
        <w:tblW w:w="9350.0" w:type="dxa"/>
        <w:jc w:val="left"/>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14.6 Specialios atsargumo priemonėms naudotojams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nekenksmingas. Nėra specialių priemonių. Saugoti pakuotes nuo mechaninio pažeidimo. Laikyti atokiau nuo šilumos šaltinių ir tiesioginių saulės spindulių. Naudotis saugos duomenų lapais prieš naudojimą.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14.7 Nesupakuotų krovinių vežimas pagal MARPOL 73/78 II priedą ir IBC kodeksą:</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r w:rsidDel="00000000" w:rsidR="00000000" w:rsidRPr="00000000">
              <w:rPr>
                <w:rtl w:val="0"/>
              </w:rPr>
            </w:r>
          </w:p>
        </w:tc>
      </w:tr>
    </w:tbl>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7"/>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vAlign w:val="top"/>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INFORMACIJA APIE REGLAMENTAVIMĄ</w:t>
            </w:r>
          </w:p>
        </w:tc>
      </w:tr>
    </w:tbl>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8"/>
        <w:tblW w:w="9350.0" w:type="dxa"/>
        <w:jc w:val="left"/>
        <w:tblLayout w:type="fixed"/>
        <w:tblLook w:val="0000"/>
      </w:tblPr>
      <w:tblGrid>
        <w:gridCol w:w="9350"/>
        <w:tblGridChange w:id="0">
          <w:tblGrid>
            <w:gridCol w:w="9350"/>
          </w:tblGrid>
        </w:tblGridChange>
      </w:tblGrid>
      <w:tr>
        <w:trPr>
          <w:cantSplit w:val="0"/>
          <w:tblHeader w:val="0"/>
        </w:trPr>
        <w:tc>
          <w:tcPr>
            <w:vAlign w:val="top"/>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vAlign w:val="top"/>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PARLAMENTO IR TARYBOS REGLAMENTAS (EB) Nr. 1272/2008 (2008.12.16) dėl cheminių medžiagų ir mišinių klasifikavimo, ženklinimo ir pakavimo, iš dalies keičiantis ir naikinantis direktyvas 67/548/EEB ir 1999/45/EB ir iš dalies keičiantis Reglamentą (EB) Nr. 1907/2006;</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KOMISIJOS REGLAMENTAS (ES) Nr. 453/2010 (2010.05.20) iš dalies keičiantis Europos Parlamento ir Tarybos Reglamentą (EB) Nr. 1907/2006 (2006.12.18) dėl cheminių medžiagų registracijos, įvertinimo, autorizacijos ir apribojimų (REACH);</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EUROPOS KOMISIJOS REGLAMENTAS (ES) Nr.2015/830, </w:t>
            </w:r>
            <w:r w:rsidDel="00000000" w:rsidR="00000000" w:rsidRPr="00000000">
              <w:rPr>
                <w:rFonts w:ascii="Times New Roman" w:cs="Times New Roman" w:eastAsia="Times New Roman" w:hAnsi="Times New Roman"/>
                <w:b w:val="0"/>
                <w:i w:val="0"/>
                <w:smallCaps w:val="0"/>
                <w:strike w:val="0"/>
                <w:color w:val="444444"/>
                <w:sz w:val="20"/>
                <w:szCs w:val="20"/>
                <w:u w:val="none"/>
                <w:shd w:fill="auto" w:val="clear"/>
                <w:vertAlign w:val="baseline"/>
                <w:rtl w:val="0"/>
              </w:rPr>
              <w:t xml:space="preserve">kuriuo iš dalies keičiamas Europos Parlamento ir Tarybos reglamentas (EB) Nr. 1907/2006 dėl cheminių medžiagų registracijos, įvertinimo, autorizacijos ir apribojimų (REACH);</w:t>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sutartis dėl pavojingų krovinių tarptautinių vežimų keliais (ADR) (Restruktūrizuota ADR 2001m leidimo sutartis) 2003.01.01, A ir B techninių priedų pakeitimai (2005 m. Redakcija);</w:t>
            </w:r>
          </w:p>
        </w:tc>
      </w:tr>
    </w:tbl>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9"/>
        <w:tblW w:w="9350.0" w:type="dxa"/>
        <w:jc w:val="left"/>
        <w:tblLayout w:type="fixed"/>
        <w:tblLook w:val="0000"/>
      </w:tblPr>
      <w:tblGrid>
        <w:gridCol w:w="9350"/>
        <w:tblGridChange w:id="0">
          <w:tblGrid>
            <w:gridCol w:w="9350"/>
          </w:tblGrid>
        </w:tblGridChange>
      </w:tblGrid>
      <w:tr>
        <w:trPr>
          <w:cantSplit w:val="0"/>
          <w:trHeight w:val="225" w:hRule="atLeast"/>
          <w:tblHeader w:val="0"/>
        </w:trPr>
        <w:tc>
          <w:tcPr>
            <w:vAlign w:val="top"/>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 (tęsinys):</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vAlign w:val="top"/>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Higienos norma HN 23:2011 "Cheminių medžiagų profesinio poveikio ribiniai dydžiai. Matavimo ir poveikio vertinimo bendrieji reikalavimai”;</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Socialinės apsaugos ir darbo ministro įsakymas “Dėl darbuotojų aprūpinimo asmeninėmis apsauginėmis priemonėmis nuostatų patvirtinimo” Nr. A-1-331, 2007.11.26;</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įsakymas „Dėl atliekų tvarkymo taisyklių patvirtinimo pakeitimo“, Nr. D1-368, 2011.05.03.</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25" w:hRule="atLeast"/>
          <w:tblHeader w:val="0"/>
        </w:trPr>
        <w:tc>
          <w:tcPr>
            <w:vAlign w:val="top"/>
          </w:tcPr>
          <w:p w:rsidR="00000000" w:rsidDel="00000000" w:rsidP="00000000" w:rsidRDefault="00000000" w:rsidRPr="00000000" w14:paraId="000001C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Cheminės saugos vertinimas</w:t>
            </w:r>
          </w:p>
        </w:tc>
      </w:tr>
      <w:tr>
        <w:trPr>
          <w:cantSplit w:val="0"/>
          <w:trHeight w:val="225" w:hRule="atLeast"/>
          <w:tblHeader w:val="0"/>
        </w:trPr>
        <w:tc>
          <w:tcPr>
            <w:vAlign w:val="top"/>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cheminės saugos vertinimas neteikiamas</w:t>
            </w:r>
          </w:p>
        </w:tc>
      </w:tr>
    </w:tbl>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0"/>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vAlign w:val="top"/>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KITA INFORMACIJA</w:t>
            </w:r>
          </w:p>
        </w:tc>
      </w:tr>
    </w:tbl>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skirsnyje nurodytų pavojingumo simbolių, rizikos frazių, pavojingumo klasių ir kitų žymenų išaiškinimai:</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1"/>
        <w:tblW w:w="9350.0" w:type="dxa"/>
        <w:jc w:val="left"/>
        <w:tblLayout w:type="fixed"/>
        <w:tblLook w:val="0000"/>
      </w:tblPr>
      <w:tblGrid>
        <w:gridCol w:w="3179"/>
        <w:gridCol w:w="6171"/>
        <w:tblGridChange w:id="0">
          <w:tblGrid>
            <w:gridCol w:w="3179"/>
            <w:gridCol w:w="6171"/>
          </w:tblGrid>
        </w:tblGridChange>
      </w:tblGrid>
      <w:tr>
        <w:trPr>
          <w:cantSplit w:val="0"/>
          <w:tblHeader w:val="0"/>
        </w:trPr>
        <w:tc>
          <w:tcPr>
            <w:vAlign w:val="top"/>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klasės ir kategorijos kodas</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Eye Dam. 1 Smarkus akių pažeidimas, 1 pavojaus kategorija</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3 Ūmustoksiškumasprarijus, 3 pavojaus kategorija</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4 Ūmustoksiškumasprarijus, 4 pavojauskategorija</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AcuteTox 2 Ūmus toksiškumas įkvėpus, 2 pavojaus kategorija</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AcuteTox. 3 Ūmus toksiškumas įkvėpus, 3 pavojaus kategorija</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AcuteTox. 3 Ūmus toksiškumas susilietus su oda, 3 pavojaus kategorija</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Skin Corr. 1B Odosėsdinimas/dirginimas, 1B pavojaus kategorija</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Skin Sens. 1, Odos jautrinimas 1 pavojaus kategorija</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Skin Irrit. 2Odos dirginimas, 2 pavojaus kategorija</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AquaticAcute 1 , Pavojinga vandens aplinkai,  ūmus pavojus, 1 pavojaus kategorija</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Aquatic Chronic 1 Pavojingavandensaplinkai, lėtinis pavojus, 1 pavojauskategorija</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Aquatic Chronic 2; Pavojingavandens aplinkai, lėtinis pavojus, 1 pavojaus kategorija</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frazės</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H301 Toksiška prarijus</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H302 Kenksminga prarijus</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H311 Toksiška susilietus su oda</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H314 Smarkiai nudegina odą ir pažeidžia akis</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H315 Sukelia odos dirginimą</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H317 Gali sukelti alerginę odos reakciją</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H318 Smarkiai pažeidžia akis</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H330 Toksiška įkvėpus</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H400 Labai toksiška andens organizmams</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H411 Toksiška vandens organizmams</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H331Toksiška įkvėpus.</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Saugos duomenų lapai parengti remiantis EUROPOS PARLAMENTO IR TARYBOS REGLAMENTO (EB) Nr. 1272/2008 (2008.12.16), EUROPOS KOMISIJOS REGLAMENTO (ES) Nr.2015/830 ir EUROPOS PARLAMENTO IR TARYBOS REGLAMENTO (EB) NR. 1907/2006 (2006.12.18) DĖL CHEMINIŲ MEDŽIAGŲ REGISTRACIJOS, ĮVERTINIMO, AUTORIZACIJOS IR APRIBOJIMŲ (REACH) nuostatomis mišinių saugos duomenų lapų rengimui. Atnaujintas pagal Europos Komisijos reglamento (ES) 2015/830 reikalavimus.  </w:t>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E">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Šiame saugos duomenų lape pateikti duomenys yra prieinami visiems, kurių darbas yra susijęs su glaistu.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Įmonė pasilieka teisę be atskiro pranešimo keisti ir papildyti informaciją. Bet koks informacijos pakeitimas lydimas saugos duomenų lapų peržiūrėjimu ir naujos versijos pateikimu. </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saugos duomenų lapas paruoštas remiantis produkto sudedamųjų dalių gamintojų saugos duomenų lapais, charakteringomis jų saugos taisyklėmis, internetiniais duomenimis. </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Dirbantys su šiuo produktu turi būti susipažinę su šiais saugos duomenų lapais prieš darbą ir, vėliau, instruktuojami nors kartą per metus.</w:t>
      </w:r>
    </w:p>
    <w:sectPr>
      <w:headerReference r:id="rId8" w:type="default"/>
      <w:headerReference r:id="rId9" w:type="even"/>
      <w:pgSz w:h="16838" w:w="11906" w:orient="portrait"/>
      <w:pgMar w:bottom="719" w:top="1440" w:left="1800" w:right="74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lapai</w:t>
    </w:r>
  </w:p>
  <w:tbl>
    <w:tblPr>
      <w:tblStyle w:val="Table42"/>
      <w:tblW w:w="9350.0" w:type="dxa"/>
      <w:jc w:val="left"/>
      <w:tblLayout w:type="fixed"/>
      <w:tblLook w:val="0000"/>
    </w:tblPr>
    <w:tblGrid>
      <w:gridCol w:w="3960"/>
      <w:gridCol w:w="1276"/>
      <w:gridCol w:w="4114"/>
      <w:tblGridChange w:id="0">
        <w:tblGrid>
          <w:gridCol w:w="3960"/>
          <w:gridCol w:w="1276"/>
          <w:gridCol w:w="4114"/>
        </w:tblGrid>
      </w:tblGridChange>
    </w:tblGrid>
    <w:tr>
      <w:trPr>
        <w:cantSplit w:val="0"/>
        <w:tblHeader w:val="0"/>
      </w:trPr>
      <w:tc>
        <w:tcPr>
          <w:vAlign w:val="top"/>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UAB „Pro colore“</w:t>
          </w: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GLAISTAS LIGHT MICRO</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F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hanging="686"/>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Saugos duomenų lapas</w:t>
          </w: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(pagal reglamentą 1272/2008 EB ir 2015/830 ES)</w:t>
          </w:r>
        </w:p>
      </w:tc>
      <w:tc>
        <w:tcPr>
          <w:vAlign w:val="top"/>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Pildymo data:    2015 05 20</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Peržiūrėta: 2022 05 20</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Versija 4</w:t>
          </w:r>
        </w:p>
      </w:tc>
    </w:tr>
  </w:tbl>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lvl w:ilvl="0">
      <w:start w:val="15"/>
      <w:numFmt w:val="decimal"/>
      <w:lvlText w:val="%1"/>
      <w:lvlJc w:val="left"/>
      <w:pPr>
        <w:ind w:left="450" w:hanging="450"/>
      </w:pPr>
      <w:rPr>
        <w:vertAlign w:val="baseline"/>
      </w:rPr>
    </w:lvl>
    <w:lvl w:ilvl="1">
      <w:start w:val="2"/>
      <w:numFmt w:val="decimal"/>
      <w:lvlText w:val="%1.%2"/>
      <w:lvlJc w:val="left"/>
      <w:pPr>
        <w:ind w:left="450" w:hanging="450"/>
      </w:pPr>
      <w:rPr>
        <w:vertAlign w:val="baseline"/>
      </w:rPr>
    </w:lvl>
    <w:lvl w:ilvl="2">
      <w:start w:val="1"/>
      <w:numFmt w:val="decimal"/>
      <w:lvlText w:val="%1.%2.%3"/>
      <w:lvlJc w:val="left"/>
      <w:pPr>
        <w:ind w:left="450" w:hanging="450"/>
      </w:pPr>
      <w:rPr>
        <w:vertAlign w:val="baseline"/>
      </w:rPr>
    </w:lvl>
    <w:lvl w:ilvl="3">
      <w:start w:val="1"/>
      <w:numFmt w:val="decimal"/>
      <w:lvlText w:val="%1.%2.%3.%4"/>
      <w:lvlJc w:val="left"/>
      <w:pPr>
        <w:ind w:left="450" w:hanging="45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720" w:hanging="720"/>
      </w:pPr>
      <w:rPr>
        <w:vertAlign w:val="baseline"/>
      </w:rPr>
    </w:lvl>
    <w:lvl w:ilvl="6">
      <w:start w:val="1"/>
      <w:numFmt w:val="decimal"/>
      <w:lvlText w:val="%1.%2.%3.%4.%5.%6.%7"/>
      <w:lvlJc w:val="left"/>
      <w:pPr>
        <w:ind w:left="720" w:hanging="720"/>
      </w:pPr>
      <w:rPr>
        <w:vertAlign w:val="baseline"/>
      </w:rPr>
    </w:lvl>
    <w:lvl w:ilvl="7">
      <w:start w:val="1"/>
      <w:numFmt w:val="decimal"/>
      <w:lvlText w:val="%1.%2.%3.%4.%5.%6.%7.%8"/>
      <w:lvlJc w:val="left"/>
      <w:pPr>
        <w:ind w:left="720" w:hanging="720"/>
      </w:pPr>
      <w:rPr>
        <w:vertAlign w:val="baseline"/>
      </w:rPr>
    </w:lvl>
    <w:lvl w:ilvl="8">
      <w:start w:val="1"/>
      <w:numFmt w:val="decimal"/>
      <w:lvlText w:val="%1.%2.%3.%4.%5.%6.%7.%8.%9"/>
      <w:lvlJc w:val="left"/>
      <w:pPr>
        <w:ind w:left="1080" w:hanging="10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Įprastasis">
    <w:name w:val="Įprastasis"/>
    <w:next w:val="Įprastasis"/>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Antraštė1">
    <w:name w:val="Antraštė 1"/>
    <w:basedOn w:val="Įprastasis"/>
    <w:next w:val="Įprastasis"/>
    <w:autoRedefine w:val="0"/>
    <w:hidden w:val="0"/>
    <w:qFormat w:val="0"/>
    <w:pPr>
      <w:keepNext w:val="1"/>
      <w:suppressAutoHyphens w:val="1"/>
      <w:spacing w:line="1" w:lineRule="atLeast"/>
      <w:ind w:left="720" w:leftChars="-1" w:rightChars="0" w:firstLineChars="-1"/>
      <w:textDirection w:val="btLr"/>
      <w:textAlignment w:val="top"/>
      <w:outlineLvl w:val="0"/>
    </w:pPr>
    <w:rPr>
      <w:i w:val="1"/>
      <w:iCs w:val="1"/>
      <w:w w:val="100"/>
      <w:position w:val="-1"/>
      <w:sz w:val="24"/>
      <w:szCs w:val="24"/>
      <w:effect w:val="none"/>
      <w:vertAlign w:val="baseline"/>
      <w:cs w:val="0"/>
      <w:em w:val="none"/>
      <w:lang w:bidi="ar-SA" w:eastAsia="en-US" w:val="lt-LT"/>
    </w:rPr>
  </w:style>
  <w:style w:type="paragraph" w:styleId="Antraštė2">
    <w:name w:val="Antraštė 2"/>
    <w:basedOn w:val="Įprastasis"/>
    <w:next w:val="Įprastasis"/>
    <w:autoRedefine w:val="0"/>
    <w:hidden w:val="0"/>
    <w:qFormat w:val="0"/>
    <w:pPr>
      <w:keepNext w:val="1"/>
      <w:suppressAutoHyphens w:val="1"/>
      <w:spacing w:line="1" w:lineRule="atLeast"/>
      <w:ind w:leftChars="-1" w:rightChars="0" w:firstLine="720" w:firstLineChars="-1"/>
      <w:textDirection w:val="btLr"/>
      <w:textAlignment w:val="top"/>
      <w:outlineLvl w:val="1"/>
    </w:pPr>
    <w:rPr>
      <w:i w:val="1"/>
      <w:iCs w:val="1"/>
      <w:w w:val="100"/>
      <w:position w:val="-1"/>
      <w:sz w:val="24"/>
      <w:szCs w:val="24"/>
      <w:effect w:val="none"/>
      <w:vertAlign w:val="baseline"/>
      <w:cs w:val="0"/>
      <w:em w:val="none"/>
      <w:lang w:bidi="ar-SA" w:eastAsia="en-US" w:val="lt-LT"/>
    </w:rPr>
  </w:style>
  <w:style w:type="paragraph" w:styleId="Antraštė3">
    <w:name w:val="Antraštė 3"/>
    <w:basedOn w:val="Įprastasis"/>
    <w:next w:val="Įprastasis"/>
    <w:autoRedefine w:val="0"/>
    <w:hidden w:val="0"/>
    <w:qFormat w:val="0"/>
    <w:pPr>
      <w:keepNext w:val="1"/>
      <w:suppressAutoHyphens w:val="1"/>
      <w:spacing w:line="1" w:lineRule="atLeast"/>
      <w:ind w:leftChars="-1" w:rightChars="0" w:firstLineChars="-1"/>
      <w:textDirection w:val="btLr"/>
      <w:textAlignment w:val="top"/>
      <w:outlineLvl w:val="2"/>
    </w:pPr>
    <w:rPr>
      <w:i w:val="1"/>
      <w:iCs w:val="1"/>
      <w:w w:val="100"/>
      <w:position w:val="-1"/>
      <w:sz w:val="24"/>
      <w:szCs w:val="24"/>
      <w:effect w:val="none"/>
      <w:vertAlign w:val="baseline"/>
      <w:cs w:val="0"/>
      <w:em w:val="none"/>
      <w:lang w:bidi="ar-SA" w:eastAsia="en-US" w:val="lt-LT"/>
    </w:rPr>
  </w:style>
  <w:style w:type="paragraph" w:styleId="Antraštė4">
    <w:name w:val="Antraštė 4"/>
    <w:basedOn w:val="Įprastasis"/>
    <w:next w:val="Įprastasis"/>
    <w:autoRedefine w:val="0"/>
    <w:hidden w:val="0"/>
    <w:qFormat w:val="0"/>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en-US" w:val="en-GB"/>
    </w:rPr>
  </w:style>
  <w:style w:type="character" w:styleId="Numatytasispastraiposšriftas">
    <w:name w:val="Numatytasis pastraipos šriftas"/>
    <w:next w:val="Numatytasispastraiposšriftas"/>
    <w:autoRedefine w:val="0"/>
    <w:hidden w:val="0"/>
    <w:qFormat w:val="0"/>
    <w:rPr>
      <w:w w:val="100"/>
      <w:position w:val="-1"/>
      <w:effect w:val="none"/>
      <w:vertAlign w:val="baseline"/>
      <w:cs w:val="0"/>
      <w:em w:val="none"/>
      <w:lang/>
    </w:rPr>
  </w:style>
  <w:style w:type="table" w:styleId="Įprastojilentelė">
    <w:name w:val="Įprastoji lentelė"/>
    <w:next w:val="Įprastojilentelė"/>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Įprastojilentelė"/>
      <w:jc w:val="left"/>
      <w:tblInd w:w="0.0" w:type="dxa"/>
      <w:tblCellMar>
        <w:top w:w="0.0" w:type="dxa"/>
        <w:left w:w="108.0" w:type="dxa"/>
        <w:bottom w:w="0.0" w:type="dxa"/>
        <w:right w:w="108.0" w:type="dxa"/>
      </w:tblCellMar>
    </w:tblPr>
  </w:style>
  <w:style w:type="numbering" w:styleId="Sąrašonėra">
    <w:name w:val="Sąrašo nėra"/>
    <w:next w:val="Sąrašonėra"/>
    <w:autoRedefine w:val="0"/>
    <w:hidden w:val="0"/>
    <w:qFormat w:val="0"/>
    <w:pPr>
      <w:suppressAutoHyphens w:val="1"/>
      <w:spacing w:line="1" w:lineRule="atLeast"/>
      <w:ind w:leftChars="-1" w:rightChars="0" w:firstLineChars="-1"/>
      <w:textDirection w:val="btLr"/>
      <w:textAlignment w:val="top"/>
      <w:outlineLvl w:val="0"/>
    </w:pPr>
  </w:style>
  <w:style w:type="paragraph" w:styleId="Pavadinimas">
    <w:name w:val="Pavadinimas"/>
    <w:basedOn w:val="Įprastasis"/>
    <w:next w:val="Pavadinimas"/>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32"/>
      <w:szCs w:val="24"/>
      <w:effect w:val="none"/>
      <w:vertAlign w:val="baseline"/>
      <w:cs w:val="0"/>
      <w:em w:val="none"/>
      <w:lang w:bidi="ar-SA" w:eastAsia="en-US" w:val="lt-LT"/>
    </w:rPr>
  </w:style>
  <w:style w:type="paragraph" w:styleId="Pagrindiniotekstoįtrauka">
    <w:name w:val="Pagrindinio teksto įtrauka"/>
    <w:basedOn w:val="Įprastasis"/>
    <w:next w:val="Pagrindiniotekstoįtrauka"/>
    <w:autoRedefine w:val="0"/>
    <w:hidden w:val="0"/>
    <w:qFormat w:val="0"/>
    <w:pPr>
      <w:suppressAutoHyphens w:val="1"/>
      <w:spacing w:line="1" w:lineRule="atLeast"/>
      <w:ind w:left="360" w:leftChars="-1" w:rightChars="0" w:firstLineChars="-1"/>
      <w:textDirection w:val="btLr"/>
      <w:textAlignment w:val="top"/>
      <w:outlineLvl w:val="0"/>
    </w:pPr>
    <w:rPr>
      <w:b w:val="1"/>
      <w:bCs w:val="1"/>
      <w:w w:val="100"/>
      <w:position w:val="-1"/>
      <w:sz w:val="24"/>
      <w:szCs w:val="24"/>
      <w:effect w:val="none"/>
      <w:vertAlign w:val="baseline"/>
      <w:cs w:val="0"/>
      <w:em w:val="none"/>
      <w:lang w:bidi="ar-SA" w:eastAsia="en-US" w:val="und"/>
    </w:rPr>
  </w:style>
  <w:style w:type="paragraph" w:styleId="Pagrindinistekstas">
    <w:name w:val="Pagrindinis tekstas"/>
    <w:basedOn w:val="Įprastasis"/>
    <w:next w:val="Pagrindinistekstas"/>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en-US" w:val="lt-LT"/>
    </w:rPr>
  </w:style>
  <w:style w:type="paragraph" w:styleId="Pagrindiniotekstoįtrauka2">
    <w:name w:val="Pagrindinio teksto įtrauka 2"/>
    <w:basedOn w:val="Įprastasis"/>
    <w:next w:val="Pagrindiniotekstoįtrauka2"/>
    <w:autoRedefine w:val="0"/>
    <w:hidden w:val="0"/>
    <w:qFormat w:val="0"/>
    <w:pPr>
      <w:suppressAutoHyphens w:val="1"/>
      <w:spacing w:line="1" w:lineRule="atLeast"/>
      <w:ind w:left="720" w:leftChars="-1" w:rightChars="0" w:firstLineChars="-1"/>
      <w:textDirection w:val="btLr"/>
      <w:textAlignment w:val="top"/>
      <w:outlineLvl w:val="0"/>
    </w:pPr>
    <w:rPr>
      <w:i w:val="1"/>
      <w:iCs w:val="1"/>
      <w:w w:val="100"/>
      <w:position w:val="-1"/>
      <w:sz w:val="24"/>
      <w:szCs w:val="24"/>
      <w:effect w:val="none"/>
      <w:vertAlign w:val="baseline"/>
      <w:cs w:val="0"/>
      <w:em w:val="none"/>
      <w:lang w:bidi="ar-SA" w:eastAsia="en-US" w:val="lt-LT"/>
    </w:rPr>
  </w:style>
  <w:style w:type="paragraph" w:styleId="Antraštės">
    <w:name w:val="Antraštės"/>
    <w:basedOn w:val="Įprastasis"/>
    <w:next w:val="Antraštės"/>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Poraštė">
    <w:name w:val="Poraštė"/>
    <w:basedOn w:val="Įprastasis"/>
    <w:next w:val="Poraštė"/>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uslapionumeris">
    <w:name w:val="Puslapio numeris"/>
    <w:basedOn w:val="Numatytasispastraiposšriftas"/>
    <w:next w:val="Puslapionumeris"/>
    <w:autoRedefine w:val="0"/>
    <w:hidden w:val="0"/>
    <w:qFormat w:val="0"/>
    <w:rPr>
      <w:w w:val="100"/>
      <w:position w:val="-1"/>
      <w:effect w:val="none"/>
      <w:vertAlign w:val="baseline"/>
      <w:cs w:val="0"/>
      <w:em w:val="none"/>
      <w:lang/>
    </w:rPr>
  </w:style>
  <w:style w:type="paragraph" w:styleId="Pagrindinistekstas2">
    <w:name w:val="Pagrindinis tekstas 2"/>
    <w:basedOn w:val="Įprastasis"/>
    <w:next w:val="Pagrindinistekstas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lt-LT"/>
    </w:rPr>
  </w:style>
  <w:style w:type="paragraph" w:styleId="Pagrindiniotekstoįtrauka3">
    <w:name w:val="Pagrindinio teksto įtrauka 3"/>
    <w:basedOn w:val="Įprastasis"/>
    <w:next w:val="Pagrindiniotekstoįtrauka3"/>
    <w:autoRedefine w:val="0"/>
    <w:hidden w:val="0"/>
    <w:qFormat w:val="0"/>
    <w:pPr>
      <w:suppressAutoHyphens w:val="1"/>
      <w:spacing w:line="1" w:lineRule="atLeast"/>
      <w:ind w:left="5040" w:leftChars="-1" w:rightChars="0" w:hanging="4320" w:firstLineChars="-1"/>
      <w:jc w:val="both"/>
      <w:textDirection w:val="btLr"/>
      <w:textAlignment w:val="top"/>
      <w:outlineLvl w:val="0"/>
    </w:pPr>
    <w:rPr>
      <w:w w:val="100"/>
      <w:position w:val="-1"/>
      <w:sz w:val="24"/>
      <w:szCs w:val="24"/>
      <w:effect w:val="none"/>
      <w:vertAlign w:val="baseline"/>
      <w:cs w:val="0"/>
      <w:em w:val="none"/>
      <w:lang w:bidi="ar-SA" w:eastAsia="en-US" w:val="lt-LT"/>
    </w:rPr>
  </w:style>
  <w:style w:type="paragraph" w:styleId="WW-BodyText2">
    <w:name w:val="WW-Body Text 2"/>
    <w:basedOn w:val="Įprastasis"/>
    <w:next w:val="WW-BodyText2"/>
    <w:autoRedefine w:val="0"/>
    <w:hidden w:val="0"/>
    <w:qFormat w:val="0"/>
    <w:pPr>
      <w:suppressAutoHyphens w:val="0"/>
      <w:spacing w:line="1" w:lineRule="atLeast"/>
      <w:ind w:leftChars="-1" w:rightChars="0" w:firstLineChars="-1"/>
      <w:jc w:val="both"/>
      <w:textDirection w:val="btLr"/>
      <w:textAlignment w:val="top"/>
      <w:outlineLvl w:val="0"/>
    </w:pPr>
    <w:rPr>
      <w:rFonts w:ascii="Century Gothic" w:hAnsi="Century Gothic"/>
      <w:w w:val="100"/>
      <w:position w:val="-1"/>
      <w:sz w:val="22"/>
      <w:szCs w:val="24"/>
      <w:effect w:val="none"/>
      <w:vertAlign w:val="baseline"/>
      <w:cs w:val="0"/>
      <w:em w:val="none"/>
      <w:lang w:bidi="ar-SA" w:eastAsia="ar-SA" w:val="en-GB"/>
    </w:rPr>
  </w:style>
  <w:style w:type="paragraph" w:styleId="Įprastas(žiniatinklio)">
    <w:name w:val="Įprastas (žiniatinklio)"/>
    <w:basedOn w:val="Įprastasis"/>
    <w:next w:val="Įprastas(žiniatinklio)"/>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en-US" w:val="en-GB"/>
    </w:rPr>
  </w:style>
  <w:style w:type="character" w:styleId="Hipersaitas">
    <w:name w:val="Hipersaitas"/>
    <w:next w:val="Hipersaitas"/>
    <w:autoRedefine w:val="0"/>
    <w:hidden w:val="0"/>
    <w:qFormat w:val="0"/>
    <w:rPr>
      <w:color w:val="0000ff"/>
      <w:w w:val="100"/>
      <w:position w:val="-1"/>
      <w:u w:val="single"/>
      <w:effect w:val="none"/>
      <w:vertAlign w:val="baseline"/>
      <w:cs w:val="0"/>
      <w:em w:val="none"/>
      <w:lang/>
    </w:rPr>
  </w:style>
  <w:style w:type="paragraph" w:styleId="Pagrindinistekstas3">
    <w:name w:val="Pagrindinis tekstas 3"/>
    <w:basedOn w:val="Įprastasis"/>
    <w:next w:val="Pagrindinistekstas3"/>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4"/>
      <w:effect w:val="none"/>
      <w:vertAlign w:val="baseline"/>
      <w:cs w:val="0"/>
      <w:em w:val="none"/>
      <w:lang w:bidi="ar-SA" w:eastAsia="en-US" w:val="lt-LT"/>
    </w:rPr>
  </w:style>
  <w:style w:type="paragraph" w:styleId="normaltext">
    <w:name w:val="normaltext"/>
    <w:basedOn w:val="Įprastasis"/>
    <w:next w:val="normaltext"/>
    <w:autoRedefine w:val="0"/>
    <w:hidden w:val="0"/>
    <w:qFormat w:val="0"/>
    <w:pPr>
      <w:suppressAutoHyphens w:val="1"/>
      <w:spacing w:after="100" w:before="100"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en-US" w:val="en-US"/>
    </w:rPr>
  </w:style>
  <w:style w:type="table" w:styleId="Lentelėstinklelis">
    <w:name w:val="Lentelės tinklelis"/>
    <w:basedOn w:val="Įprastojilentelė"/>
    <w:next w:val="Lentelėstinklelis"/>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Lentelėstinklelis"/>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rindiniotekstoįtraukaDiagrama">
    <w:name w:val="Pagrindinio teksto įtrauka Diagrama"/>
    <w:next w:val="PagrindiniotekstoįtraukaDiagrama"/>
    <w:autoRedefine w:val="0"/>
    <w:hidden w:val="0"/>
    <w:qFormat w:val="0"/>
    <w:rPr>
      <w:b w:val="1"/>
      <w:bCs w:val="1"/>
      <w:w w:val="100"/>
      <w:position w:val="-1"/>
      <w:sz w:val="24"/>
      <w:szCs w:val="24"/>
      <w:effect w:val="none"/>
      <w:vertAlign w:val="baseline"/>
      <w:cs w:val="0"/>
      <w:em w:val="none"/>
      <w:lang w:eastAsia="en-US"/>
    </w:rPr>
  </w:style>
  <w:style w:type="paragraph" w:styleId="Debesėliotekstas">
    <w:name w:val="Debesėlio tekstas"/>
    <w:basedOn w:val="Įprastasis"/>
    <w:next w:val="Debesėliotekstas"/>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en-US" w:val="en-GB"/>
    </w:rPr>
  </w:style>
  <w:style w:type="character" w:styleId="DebesėliotekstasDiagrama">
    <w:name w:val="Debesėlio tekstas Diagrama"/>
    <w:next w:val="DebesėliotekstasDiagrama"/>
    <w:autoRedefine w:val="0"/>
    <w:hidden w:val="0"/>
    <w:qFormat w:val="0"/>
    <w:rPr>
      <w:rFonts w:ascii="Segoe UI" w:cs="Segoe UI" w:hAnsi="Segoe UI"/>
      <w:w w:val="100"/>
      <w:position w:val="-1"/>
      <w:sz w:val="18"/>
      <w:szCs w:val="18"/>
      <w:effect w:val="none"/>
      <w:vertAlign w:val="baseline"/>
      <w:cs w:val="0"/>
      <w:em w:val="none"/>
      <w:lang w:eastAsia="en-US" w:val="en-GB"/>
    </w:rPr>
  </w:style>
  <w:style w:type="paragraph" w:styleId="Sąrašopastraipa">
    <w:name w:val="Sąrašo pastraipa"/>
    <w:basedOn w:val="Įprastasis"/>
    <w:next w:val="Sąrašopastraipa"/>
    <w:autoRedefine w:val="0"/>
    <w:hidden w:val="0"/>
    <w:qFormat w:val="0"/>
    <w:pPr>
      <w:suppressAutoHyphens w:val="1"/>
      <w:spacing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lt-L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DB@meffert.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Gq5M7QC5UL2gBsUf/M5Ay8cloA==">AMUW2mXwZPH0Dn+8e45gdcHhCLGMXluvhR2KnrKVvuGlVNghI8Ojno3O35oVuSJzYoDIHwQyUWThCo8/u5gCuBqtlZgMJ2USgg64OLsaeNFPDfdMfwoOvAw=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2022-12-20T17:38:00Z</dcterms:created>
  <dc:creator>Vytas</dc:creator>
</cp:coreProperties>
</file>

<file path=docProps/custom.xml><?xml version="1.0" encoding="utf-8"?>
<Properties xmlns="http://schemas.openxmlformats.org/officeDocument/2006/custom-properties" xmlns:vt="http://schemas.openxmlformats.org/officeDocument/2006/docPropsVTypes"/>
</file>