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LATEX-L</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rPr>
                <w:sz w:val="20"/>
                <w:szCs w:val="20"/>
              </w:rPr>
            </w:pPr>
            <w:r w:rsidDel="00000000" w:rsidR="00000000" w:rsidRPr="00000000">
              <w:rPr>
                <w:sz w:val="20"/>
                <w:szCs w:val="20"/>
                <w:rtl w:val="0"/>
              </w:rPr>
              <w:t xml:space="preserve">Visiškai matiniai dažai luboms, drėgnai valomi (4 kasė). Skirti  lubų (tinko, gipso kartono, betono įvairių plokščių ir kitų mineralinių paviršių) dažymui pastatų viduje. </w:t>
            </w:r>
          </w:p>
          <w:p w:rsidR="00000000" w:rsidDel="00000000" w:rsidP="00000000" w:rsidRDefault="00000000" w:rsidRPr="00000000" w14:paraId="0000000F">
            <w:pPr>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1">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3">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UAB „Pro colore“ </w:t>
            </w:r>
          </w:p>
        </w:tc>
      </w:tr>
      <w:tr>
        <w:trPr>
          <w:cantSplit w:val="0"/>
          <w:tblHeader w:val="0"/>
        </w:trPr>
        <w:tc>
          <w:tcPr/>
          <w:p w:rsidR="00000000" w:rsidDel="00000000" w:rsidP="00000000" w:rsidRDefault="00000000" w:rsidRPr="00000000" w14:paraId="00000015">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7">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9">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A">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B">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C">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D">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0">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3">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4">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7">
            <w:pPr>
              <w:pStyle w:val="Heading3"/>
              <w:rPr>
                <w:b w:val="1"/>
                <w:i w:val="0"/>
                <w:sz w:val="18"/>
                <w:szCs w:val="18"/>
              </w:rPr>
            </w:pPr>
            <w:r w:rsidDel="00000000" w:rsidR="00000000" w:rsidRPr="00000000">
              <w:rPr>
                <w:rtl w:val="0"/>
              </w:rPr>
            </w:r>
          </w:p>
          <w:p w:rsidR="00000000" w:rsidDel="00000000" w:rsidP="00000000" w:rsidRDefault="00000000" w:rsidRPr="00000000" w14:paraId="00000028">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C">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2F">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2">
            <w:pPr>
              <w:tabs>
                <w:tab w:val="center" w:leader="none" w:pos="1801"/>
              </w:tabs>
              <w:rPr>
                <w:b w:val="1"/>
                <w:sz w:val="20"/>
                <w:szCs w:val="20"/>
              </w:rPr>
            </w:pPr>
            <w:r w:rsidDel="00000000" w:rsidR="00000000" w:rsidRPr="00000000">
              <w:rPr>
                <w:rtl w:val="0"/>
              </w:rPr>
            </w:r>
          </w:p>
        </w:tc>
        <w:tc>
          <w:tcPr/>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9">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B">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C">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E">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3F">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1">
            <w:pPr>
              <w:rPr>
                <w:b w:val="1"/>
                <w:sz w:val="20"/>
                <w:szCs w:val="20"/>
              </w:rPr>
            </w:pPr>
            <w:r w:rsidDel="00000000" w:rsidR="00000000" w:rsidRPr="00000000">
              <w:rPr>
                <w:rtl w:val="0"/>
              </w:rPr>
            </w:r>
          </w:p>
        </w:tc>
        <w:tc>
          <w:tcPr/>
          <w:p w:rsidR="00000000" w:rsidDel="00000000" w:rsidP="00000000" w:rsidRDefault="00000000" w:rsidRPr="00000000" w14:paraId="00000042">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7">
            <w:pPr>
              <w:ind w:left="-42" w:firstLine="0"/>
              <w:rPr>
                <w:sz w:val="20"/>
                <w:szCs w:val="20"/>
              </w:rPr>
            </w:pPr>
            <w:r w:rsidDel="00000000" w:rsidR="00000000" w:rsidRPr="00000000">
              <w:rPr>
                <w:sz w:val="20"/>
                <w:szCs w:val="20"/>
                <w:rtl w:val="0"/>
              </w:rPr>
              <w:t xml:space="preserve">EUH208 – Gali sukelti alerginę reakciją. Sudėtyje yra: 1,2-benzizotiazol-3(2H)-onas 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jc w:val="right"/>
        <w:rPr>
          <w:sz w:val="20"/>
          <w:szCs w:val="20"/>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A">
            <w:pPr>
              <w:tabs>
                <w:tab w:val="right" w:leader="none" w:pos="9134"/>
              </w:tabs>
              <w:jc w:val="both"/>
              <w:rPr>
                <w:b w:val="1"/>
                <w:sz w:val="20"/>
                <w:szCs w:val="20"/>
              </w:rPr>
            </w:pPr>
            <w:r w:rsidDel="00000000" w:rsidR="00000000" w:rsidRPr="00000000">
              <w:rPr>
                <w:b w:val="1"/>
                <w:sz w:val="20"/>
                <w:szCs w:val="20"/>
                <w:rtl w:val="0"/>
              </w:rPr>
              <w:t xml:space="preserve">2.3 Kiti pavojai</w:t>
              <w:tab/>
            </w:r>
          </w:p>
          <w:p w:rsidR="00000000" w:rsidDel="00000000" w:rsidP="00000000" w:rsidRDefault="00000000" w:rsidRPr="00000000" w14:paraId="0000004B">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4F">
      <w:pPr>
        <w:tabs>
          <w:tab w:val="left" w:leader="none" w:pos="1125"/>
        </w:tabs>
        <w:jc w:val="both"/>
        <w:rPr/>
      </w:pPr>
      <w:r w:rsidDel="00000000" w:rsidR="00000000" w:rsidRPr="00000000">
        <w:rPr>
          <w:rtl w:val="0"/>
        </w:rPr>
      </w:r>
    </w:p>
    <w:p w:rsidR="00000000" w:rsidDel="00000000" w:rsidP="00000000" w:rsidRDefault="00000000" w:rsidRPr="00000000" w14:paraId="00000050">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1">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2">
      <w:pPr>
        <w:jc w:val="both"/>
        <w:rPr>
          <w:sz w:val="16"/>
          <w:szCs w:val="16"/>
        </w:rPr>
      </w:pPr>
      <w:r w:rsidDel="00000000" w:rsidR="00000000" w:rsidRPr="00000000">
        <w:rPr>
          <w:rtl w:val="0"/>
        </w:rPr>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Pavojingi komponentai:</w:t>
      </w:r>
    </w:p>
    <w:p w:rsidR="00000000" w:rsidDel="00000000" w:rsidP="00000000" w:rsidRDefault="00000000" w:rsidRPr="00000000" w14:paraId="00000054">
      <w:pPr>
        <w:rPr>
          <w:b w:val="1"/>
          <w:sz w:val="12"/>
          <w:szCs w:val="12"/>
        </w:rPr>
      </w:pPr>
      <w:r w:rsidDel="00000000" w:rsidR="00000000" w:rsidRPr="00000000">
        <w:rPr>
          <w:rtl w:val="0"/>
        </w:rPr>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5">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6">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7">
            <w:pPr>
              <w:ind w:left="-42" w:firstLine="0"/>
              <w:jc w:val="center"/>
              <w:rPr>
                <w:sz w:val="20"/>
                <w:szCs w:val="20"/>
              </w:rPr>
            </w:pPr>
            <w:r w:rsidDel="00000000" w:rsidR="00000000" w:rsidRPr="00000000">
              <w:rPr>
                <w:rtl w:val="0"/>
              </w:rPr>
            </w:r>
          </w:p>
          <w:p w:rsidR="00000000" w:rsidDel="00000000" w:rsidP="00000000" w:rsidRDefault="00000000" w:rsidRPr="00000000" w14:paraId="00000058">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2">
            <w:pPr>
              <w:jc w:val="center"/>
              <w:rPr>
                <w:sz w:val="16"/>
                <w:szCs w:val="16"/>
              </w:rPr>
            </w:pPr>
            <w:r w:rsidDel="00000000" w:rsidR="00000000" w:rsidRPr="00000000">
              <w:rPr>
                <w:rtl w:val="0"/>
              </w:rPr>
            </w:r>
          </w:p>
        </w:tc>
        <w:tc>
          <w:tcPr/>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4">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65">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66">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69">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6A">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B">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6C">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6D">
            <w:pPr>
              <w:rPr>
                <w:sz w:val="16"/>
                <w:szCs w:val="16"/>
              </w:rPr>
            </w:pPr>
            <w:r w:rsidDel="00000000" w:rsidR="00000000" w:rsidRPr="00000000">
              <w:rPr>
                <w:rtl w:val="0"/>
              </w:rPr>
            </w:r>
          </w:p>
        </w:tc>
        <w:tc>
          <w:tcPr/>
          <w:p w:rsidR="00000000" w:rsidDel="00000000" w:rsidP="00000000" w:rsidRDefault="00000000" w:rsidRPr="00000000" w14:paraId="0000006E">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6F">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70">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1">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73">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74">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75">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76">
            <w:pPr>
              <w:ind w:left="-42" w:firstLine="0"/>
              <w:jc w:val="center"/>
              <w:rPr>
                <w:sz w:val="20"/>
                <w:szCs w:val="20"/>
              </w:rPr>
            </w:pPr>
            <w:r w:rsidDel="00000000" w:rsidR="00000000" w:rsidRPr="00000000">
              <w:rPr>
                <w:rtl w:val="0"/>
              </w:rPr>
            </w:r>
          </w:p>
          <w:p w:rsidR="00000000" w:rsidDel="00000000" w:rsidP="00000000" w:rsidRDefault="00000000" w:rsidRPr="00000000" w14:paraId="00000077">
            <w:pPr>
              <w:ind w:left="-42" w:firstLine="0"/>
              <w:jc w:val="center"/>
              <w:rPr>
                <w:sz w:val="20"/>
                <w:szCs w:val="20"/>
              </w:rPr>
            </w:pPr>
            <w:r w:rsidDel="00000000" w:rsidR="00000000" w:rsidRPr="00000000">
              <w:rPr>
                <w:rtl w:val="0"/>
              </w:rPr>
            </w:r>
          </w:p>
          <w:p w:rsidR="00000000" w:rsidDel="00000000" w:rsidP="00000000" w:rsidRDefault="00000000" w:rsidRPr="00000000" w14:paraId="00000078">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7A">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7B">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7C">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D">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80">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81">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83">
            <w:pPr>
              <w:jc w:val="center"/>
              <w:rPr>
                <w:sz w:val="16"/>
                <w:szCs w:val="16"/>
              </w:rPr>
            </w:pPr>
            <w:r w:rsidDel="00000000" w:rsidR="00000000" w:rsidRPr="00000000">
              <w:rPr>
                <w:rtl w:val="0"/>
              </w:rPr>
            </w:r>
          </w:p>
        </w:tc>
      </w:tr>
    </w:tbl>
    <w:p w:rsidR="00000000" w:rsidDel="00000000" w:rsidP="00000000" w:rsidRDefault="00000000" w:rsidRPr="00000000" w14:paraId="00000084">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85">
      <w:pPr>
        <w:rPr>
          <w:sz w:val="16"/>
          <w:szCs w:val="16"/>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A">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8B">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9A">
      <w:pPr>
        <w:jc w:val="right"/>
        <w:rPr>
          <w:sz w:val="16"/>
          <w:szCs w:val="16"/>
        </w:rPr>
      </w:pPr>
      <w:r w:rsidDel="00000000" w:rsidR="00000000" w:rsidRPr="00000000">
        <w:rPr>
          <w:rtl w:val="0"/>
        </w:rPr>
      </w:r>
    </w:p>
    <w:tbl>
      <w:tblPr>
        <w:tblStyle w:val="Table1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9B">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9C">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F">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A0">
            <w:pPr>
              <w:rPr>
                <w:sz w:val="4"/>
                <w:szCs w:val="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A8">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B4">
      <w:pPr>
        <w:rPr/>
      </w:pPr>
      <w:r w:rsidDel="00000000" w:rsidR="00000000" w:rsidRPr="00000000">
        <w:rPr>
          <w:rtl w:val="0"/>
        </w:rPr>
      </w:r>
    </w:p>
    <w:tbl>
      <w:tblPr>
        <w:tblStyle w:val="Table1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BE">
      <w:pPr>
        <w:rPr>
          <w:sz w:val="20"/>
          <w:szCs w:val="20"/>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1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0E8">
      <w:pPr>
        <w:rPr/>
      </w:pPr>
      <w:r w:rsidDel="00000000" w:rsidR="00000000" w:rsidRPr="00000000">
        <w:rPr>
          <w:rtl w:val="0"/>
        </w:rPr>
      </w:r>
    </w:p>
    <w:tbl>
      <w:tblPr>
        <w:tblStyle w:val="Table2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0F1">
      <w:pPr>
        <w:rPr/>
      </w:pPr>
      <w:r w:rsidDel="00000000" w:rsidR="00000000" w:rsidRPr="00000000">
        <w:rPr>
          <w:rtl w:val="0"/>
        </w:rPr>
      </w:r>
    </w:p>
    <w:tbl>
      <w:tblPr>
        <w:tblStyle w:val="Table2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03">
      <w:pPr>
        <w:rPr>
          <w:sz w:val="16"/>
          <w:szCs w:val="16"/>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18">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1,25</w:t>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3">
            <w:pPr>
              <w:rPr>
                <w:sz w:val="20"/>
                <w:szCs w:val="20"/>
              </w:rPr>
            </w:pPr>
            <w:r w:rsidDel="00000000" w:rsidR="00000000" w:rsidRPr="00000000">
              <w:rPr>
                <w:sz w:val="20"/>
                <w:szCs w:val="20"/>
                <w:rtl w:val="0"/>
              </w:rPr>
              <w:t xml:space="preserve">~13000  mPa·s,</w:t>
            </w:r>
          </w:p>
          <w:p w:rsidR="00000000" w:rsidDel="00000000" w:rsidP="00000000" w:rsidRDefault="00000000" w:rsidRPr="00000000" w14:paraId="00000124">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25">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33">
      <w:pPr>
        <w:rPr/>
      </w:pPr>
      <w:r w:rsidDel="00000000" w:rsidR="00000000" w:rsidRPr="00000000">
        <w:rPr>
          <w:rtl w:val="0"/>
        </w:rPr>
      </w:r>
    </w:p>
    <w:tbl>
      <w:tblPr>
        <w:tblStyle w:val="Table2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tc>
      </w:tr>
    </w:tbl>
    <w:p w:rsidR="00000000" w:rsidDel="00000000" w:rsidP="00000000" w:rsidRDefault="00000000" w:rsidRPr="00000000" w14:paraId="00000138">
      <w:pPr>
        <w:tabs>
          <w:tab w:val="left" w:leader="none" w:pos="5103"/>
        </w:tabs>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3B">
      <w:pPr>
        <w:rPr>
          <w:sz w:val="14"/>
          <w:szCs w:val="14"/>
        </w:rPr>
      </w:pPr>
      <w:r w:rsidDel="00000000" w:rsidR="00000000" w:rsidRPr="00000000">
        <w:rPr>
          <w:rtl w:val="0"/>
        </w:rPr>
      </w:r>
    </w:p>
    <w:tbl>
      <w:tblPr>
        <w:tblStyle w:val="Table3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rHeight w:val="474.9609375" w:hRule="atLeast"/>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47">
      <w:pPr>
        <w:rPr>
          <w:sz w:val="22"/>
          <w:szCs w:val="22"/>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3(2H)izotiazolonas, 5-chloro-2-metil mišinys su 2-metil-3(2H)-izotiazolonu, 1,2-benzizotiazol-3(2H)-onas ir 2,2-dibrom-3-nitrilpropionamidas – gali sukelti alerginę reakciją.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61">
      <w:pPr>
        <w:pStyle w:val="Title"/>
        <w:jc w:val="left"/>
        <w:rPr>
          <w:sz w:val="24"/>
          <w:szCs w:val="24"/>
        </w:rPr>
      </w:pPr>
      <w:r w:rsidDel="00000000" w:rsidR="00000000" w:rsidRPr="00000000">
        <w:rPr>
          <w:rtl w:val="0"/>
        </w:rPr>
      </w:r>
    </w:p>
    <w:tbl>
      <w:tblPr>
        <w:tblStyle w:val="Table3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64">
      <w:pPr>
        <w:rPr>
          <w:sz w:val="14"/>
          <w:szCs w:val="14"/>
        </w:rPr>
      </w:pPr>
      <w:r w:rsidDel="00000000" w:rsidR="00000000" w:rsidRPr="00000000">
        <w:rPr>
          <w:rtl w:val="0"/>
        </w:rPr>
      </w:r>
    </w:p>
    <w:tbl>
      <w:tblPr>
        <w:tblStyle w:val="Table3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73">
      <w:pPr>
        <w:rPr/>
      </w:pPr>
      <w:r w:rsidDel="00000000" w:rsidR="00000000" w:rsidRPr="00000000">
        <w:rPr>
          <w:rtl w:val="0"/>
        </w:rPr>
      </w:r>
    </w:p>
    <w:tbl>
      <w:tblPr>
        <w:tblStyle w:val="Table3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75">
      <w:pPr>
        <w:rPr/>
      </w:pPr>
      <w:r w:rsidDel="00000000" w:rsidR="00000000" w:rsidRPr="00000000">
        <w:rPr>
          <w:rtl w:val="0"/>
        </w:rPr>
      </w:r>
    </w:p>
    <w:tbl>
      <w:tblPr>
        <w:tblStyle w:val="Table36"/>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7F">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80">
      <w:pPr>
        <w:jc w:val="both"/>
        <w:rPr>
          <w:sz w:val="8"/>
          <w:szCs w:val="8"/>
        </w:rPr>
      </w:pPr>
      <w:r w:rsidDel="00000000" w:rsidR="00000000" w:rsidRPr="00000000">
        <w:rPr>
          <w:rtl w:val="0"/>
        </w:rPr>
      </w:r>
    </w:p>
    <w:tbl>
      <w:tblPr>
        <w:tblStyle w:val="Table38"/>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93">
      <w:pPr>
        <w:rPr>
          <w:sz w:val="16"/>
          <w:szCs w:val="16"/>
        </w:rPr>
      </w:pPr>
      <w:r w:rsidDel="00000000" w:rsidR="00000000" w:rsidRPr="00000000">
        <w:rPr>
          <w:rtl w:val="0"/>
        </w:rPr>
      </w:r>
    </w:p>
    <w:tbl>
      <w:tblPr>
        <w:tblStyle w:val="Table3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4">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95">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96">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99">
      <w:pPr>
        <w:ind w:right="180"/>
        <w:jc w:val="right"/>
        <w:rPr/>
      </w:pPr>
      <w:r w:rsidDel="00000000" w:rsidR="00000000" w:rsidRPr="00000000">
        <w:rPr>
          <w:rtl w:val="0"/>
        </w:rPr>
      </w:r>
    </w:p>
    <w:tbl>
      <w:tblPr>
        <w:tblStyle w:val="Table40"/>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9B">
      <w:pPr>
        <w:pStyle w:val="Title"/>
        <w:jc w:val="left"/>
        <w:rPr>
          <w:sz w:val="24"/>
          <w:szCs w:val="24"/>
        </w:rPr>
      </w:pPr>
      <w:r w:rsidDel="00000000" w:rsidR="00000000" w:rsidRPr="00000000">
        <w:rPr>
          <w:rtl w:val="0"/>
        </w:rPr>
      </w:r>
    </w:p>
    <w:tbl>
      <w:tblPr>
        <w:tblStyle w:val="Table4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9F">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A0">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A1">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A3">
      <w:pPr>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A7">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AA">
      <w:pPr>
        <w:rPr>
          <w:sz w:val="20"/>
          <w:szCs w:val="20"/>
        </w:rPr>
      </w:pPr>
      <w:r w:rsidDel="00000000" w:rsidR="00000000" w:rsidRPr="00000000">
        <w:rPr>
          <w:rtl w:val="0"/>
        </w:rPr>
      </w:r>
    </w:p>
    <w:tbl>
      <w:tblPr>
        <w:tblStyle w:val="Table43"/>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AE">
      <w:pPr>
        <w:rPr/>
      </w:pPr>
      <w:r w:rsidDel="00000000" w:rsidR="00000000" w:rsidRPr="00000000">
        <w:rPr>
          <w:rtl w:val="0"/>
        </w:rPr>
      </w:r>
    </w:p>
    <w:tbl>
      <w:tblPr>
        <w:tblStyle w:val="Table4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sz w:val="20"/>
          <w:szCs w:val="20"/>
        </w:rPr>
      </w:pPr>
      <w:r w:rsidDel="00000000" w:rsidR="00000000" w:rsidRPr="00000000">
        <w:rPr>
          <w:sz w:val="20"/>
          <w:szCs w:val="20"/>
          <w:rtl w:val="0"/>
        </w:rPr>
        <w:t xml:space="preserve">3 skirsnyje nurodytų pavojingumo simbolių, rizikos frazių, pavojingumo klasių ir kitų žymenų išaiškinimai:</w:t>
      </w:r>
    </w:p>
    <w:p w:rsidR="00000000" w:rsidDel="00000000" w:rsidP="00000000" w:rsidRDefault="00000000" w:rsidRPr="00000000" w14:paraId="000001B2">
      <w:pPr>
        <w:spacing w:line="360" w:lineRule="auto"/>
        <w:rPr>
          <w:b w:val="1"/>
          <w:sz w:val="20"/>
          <w:szCs w:val="20"/>
        </w:rPr>
      </w:pPr>
      <w:r w:rsidDel="00000000" w:rsidR="00000000" w:rsidRPr="00000000">
        <w:rPr>
          <w:rtl w:val="0"/>
        </w:rPr>
      </w:r>
    </w:p>
    <w:tbl>
      <w:tblPr>
        <w:tblStyle w:val="Table45"/>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B7">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B9">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1BD">
            <w:pPr>
              <w:rPr>
                <w:sz w:val="20"/>
                <w:szCs w:val="20"/>
              </w:rPr>
            </w:pPr>
            <w:r w:rsidDel="00000000" w:rsidR="00000000" w:rsidRPr="00000000">
              <w:rPr>
                <w:sz w:val="20"/>
                <w:szCs w:val="20"/>
                <w:rtl w:val="0"/>
              </w:rPr>
              <w:t xml:space="preserve">Skin Irrit. 2 Odos ėsdinimas / dirginimas, 2</w:t>
            </w:r>
            <w:r w:rsidDel="00000000" w:rsidR="00000000" w:rsidRPr="00000000">
              <w:rPr>
                <w:b w:val="1"/>
                <w:sz w:val="20"/>
                <w:szCs w:val="20"/>
                <w:rtl w:val="0"/>
              </w:rPr>
              <w:t xml:space="preserve"> </w:t>
            </w:r>
            <w:r w:rsidDel="00000000" w:rsidR="00000000" w:rsidRPr="00000000">
              <w:rPr>
                <w:sz w:val="20"/>
                <w:szCs w:val="20"/>
                <w:rtl w:val="0"/>
              </w:rPr>
              <w:t xml:space="preserve">pavojaus kategorija</w:t>
            </w:r>
          </w:p>
          <w:p w:rsidR="00000000" w:rsidDel="00000000" w:rsidP="00000000" w:rsidRDefault="00000000" w:rsidRPr="00000000" w14:paraId="000001BE">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2">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1C3">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1C4">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1C5">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1C6">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1C7">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C8">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1C9">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1CA">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1CB">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1CC">
            <w:pPr>
              <w:rPr>
                <w:sz w:val="20"/>
                <w:szCs w:val="20"/>
              </w:rPr>
            </w:pPr>
            <w:r w:rsidDel="00000000" w:rsidR="00000000" w:rsidRPr="00000000">
              <w:rPr>
                <w:rtl w:val="0"/>
              </w:rPr>
            </w:r>
          </w:p>
        </w:tc>
      </w:tr>
    </w:tbl>
    <w:p w:rsidR="00000000" w:rsidDel="00000000" w:rsidP="00000000" w:rsidRDefault="00000000" w:rsidRPr="00000000" w14:paraId="000001CD">
      <w:pPr>
        <w:rPr>
          <w:sz w:val="20"/>
          <w:szCs w:val="20"/>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0">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1D5">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lapas</w:t>
    </w:r>
  </w:p>
  <w:tbl>
    <w:tblPr>
      <w:tblStyle w:val="Table46"/>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1D7">
          <w:pPr>
            <w:ind w:right="360"/>
            <w:jc w:val="center"/>
            <w:rPr>
              <w:b w:val="1"/>
              <w:sz w:val="16"/>
              <w:szCs w:val="16"/>
            </w:rPr>
          </w:pPr>
          <w:r w:rsidDel="00000000" w:rsidR="00000000" w:rsidRPr="00000000">
            <w:rPr>
              <w:rtl w:val="0"/>
            </w:rPr>
          </w:r>
        </w:p>
        <w:p w:rsidR="00000000" w:rsidDel="00000000" w:rsidP="00000000" w:rsidRDefault="00000000" w:rsidRPr="00000000" w14:paraId="000001D8">
          <w:pPr>
            <w:jc w:val="center"/>
            <w:rPr>
              <w:b w:val="1"/>
              <w:sz w:val="28"/>
              <w:szCs w:val="28"/>
            </w:rPr>
          </w:pPr>
          <w:r w:rsidDel="00000000" w:rsidR="00000000" w:rsidRPr="00000000">
            <w:rPr>
              <w:b w:val="1"/>
              <w:sz w:val="28"/>
              <w:szCs w:val="28"/>
              <w:rtl w:val="0"/>
            </w:rPr>
            <w:t xml:space="preserve">UAB „Pro colore“</w:t>
          </w:r>
        </w:p>
      </w:tc>
      <w:tc>
        <w:tcPr>
          <w:shd w:fill="auto" w:val="clear"/>
        </w:tcPr>
        <w:p w:rsidR="00000000" w:rsidDel="00000000" w:rsidP="00000000" w:rsidRDefault="00000000" w:rsidRPr="00000000" w14:paraId="000001D9">
          <w:pPr>
            <w:jc w:val="center"/>
            <w:rPr>
              <w:b w:val="1"/>
            </w:rPr>
          </w:pPr>
          <w:r w:rsidDel="00000000" w:rsidR="00000000" w:rsidRPr="00000000">
            <w:rPr>
              <w:rtl w:val="0"/>
            </w:rPr>
          </w:r>
        </w:p>
        <w:p w:rsidR="00000000" w:rsidDel="00000000" w:rsidP="00000000" w:rsidRDefault="00000000" w:rsidRPr="00000000" w14:paraId="000001DA">
          <w:pPr>
            <w:jc w:val="center"/>
            <w:rPr>
              <w:b w:val="1"/>
              <w:sz w:val="28"/>
              <w:szCs w:val="28"/>
              <w:highlight w:val="black"/>
            </w:rPr>
          </w:pPr>
          <w:r w:rsidDel="00000000" w:rsidR="00000000" w:rsidRPr="00000000">
            <w:rPr>
              <w:b w:val="1"/>
              <w:sz w:val="28"/>
              <w:szCs w:val="28"/>
              <w:rtl w:val="0"/>
            </w:rPr>
            <w:t xml:space="preserve">DAŽAI  LATEX-L</w:t>
          </w:r>
          <w:r w:rsidDel="00000000" w:rsidR="00000000" w:rsidRPr="00000000">
            <w:rPr>
              <w:rtl w:val="0"/>
            </w:rPr>
          </w:r>
        </w:p>
      </w:tc>
    </w:tr>
  </w:tbl>
  <w:p w:rsidR="00000000" w:rsidDel="00000000" w:rsidP="00000000" w:rsidRDefault="00000000" w:rsidRPr="00000000" w14:paraId="000001DB">
    <w:pPr>
      <w:jc w:val="right"/>
      <w:rPr>
        <w:sz w:val="16"/>
        <w:szCs w:val="16"/>
      </w:rPr>
    </w:pPr>
    <w:r w:rsidDel="00000000" w:rsidR="00000000" w:rsidRPr="00000000">
      <w:rPr>
        <w:rtl w:val="0"/>
      </w:rPr>
    </w:r>
  </w:p>
  <w:tbl>
    <w:tblPr>
      <w:tblStyle w:val="Table47"/>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1DC">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1DD">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1DE">
          <w:pPr>
            <w:rPr/>
          </w:pPr>
          <w:r w:rsidDel="00000000" w:rsidR="00000000" w:rsidRPr="00000000">
            <w:rPr>
              <w:rtl w:val="0"/>
            </w:rPr>
            <w:t xml:space="preserve">Pildymo data:    2015 05 20</w:t>
          </w:r>
        </w:p>
        <w:p w:rsidR="00000000" w:rsidDel="00000000" w:rsidP="00000000" w:rsidRDefault="00000000" w:rsidRPr="00000000" w14:paraId="000001DF">
          <w:pPr>
            <w:rPr/>
          </w:pPr>
          <w:r w:rsidDel="00000000" w:rsidR="00000000" w:rsidRPr="00000000">
            <w:rPr>
              <w:rtl w:val="0"/>
            </w:rPr>
            <w:t xml:space="preserve">Peržiūrėta: 2022 05 20</w:t>
          </w:r>
        </w:p>
        <w:p w:rsidR="00000000" w:rsidDel="00000000" w:rsidP="00000000" w:rsidRDefault="00000000" w:rsidRPr="00000000" w14:paraId="000001E0">
          <w:pPr>
            <w:rPr/>
          </w:pPr>
          <w:r w:rsidDel="00000000" w:rsidR="00000000" w:rsidRPr="00000000">
            <w:rPr>
              <w:rtl w:val="0"/>
            </w:rPr>
            <w:t xml:space="preserve">Versija 4</w:t>
          </w:r>
        </w:p>
      </w:tc>
    </w:tr>
  </w:tb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CF2319"/>
    <w:rPr>
      <w:sz w:val="24"/>
      <w:szCs w:val="24"/>
      <w:lang w:eastAsia="en-US" w:val="en-GB"/>
    </w:rPr>
  </w:style>
  <w:style w:type="paragraph" w:styleId="Heading1">
    <w:name w:val="heading 1"/>
    <w:basedOn w:val="Normal"/>
    <w:next w:val="Normal"/>
    <w:qFormat w:val="1"/>
    <w:rsid w:val="00CF2319"/>
    <w:pPr>
      <w:keepNext w:val="1"/>
      <w:ind w:left="720"/>
      <w:outlineLvl w:val="0"/>
    </w:pPr>
    <w:rPr>
      <w:i w:val="1"/>
      <w:iCs w:val="1"/>
      <w:lang w:val="lt-LT"/>
    </w:rPr>
  </w:style>
  <w:style w:type="paragraph" w:styleId="Heading2">
    <w:name w:val="heading 2"/>
    <w:basedOn w:val="Normal"/>
    <w:next w:val="Normal"/>
    <w:qFormat w:val="1"/>
    <w:rsid w:val="00CF2319"/>
    <w:pPr>
      <w:keepNext w:val="1"/>
      <w:ind w:firstLine="720"/>
      <w:outlineLvl w:val="1"/>
    </w:pPr>
    <w:rPr>
      <w:i w:val="1"/>
      <w:iCs w:val="1"/>
      <w:lang w:val="lt-LT"/>
    </w:rPr>
  </w:style>
  <w:style w:type="paragraph" w:styleId="Heading3">
    <w:name w:val="heading 3"/>
    <w:basedOn w:val="Normal"/>
    <w:next w:val="Normal"/>
    <w:qFormat w:val="1"/>
    <w:rsid w:val="00CF2319"/>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CF2319"/>
    <w:pPr>
      <w:jc w:val="center"/>
    </w:pPr>
    <w:rPr>
      <w:b w:val="1"/>
      <w:bCs w:val="1"/>
      <w:sz w:val="32"/>
      <w:lang w:val="lt-LT"/>
    </w:rPr>
  </w:style>
  <w:style w:type="paragraph" w:styleId="BodyTextIndent">
    <w:name w:val="Body Text Indent"/>
    <w:basedOn w:val="Normal"/>
    <w:link w:val="BodyTextIndentChar"/>
    <w:rsid w:val="00CF2319"/>
    <w:pPr>
      <w:ind w:left="360"/>
    </w:pPr>
    <w:rPr>
      <w:b w:val="1"/>
      <w:bCs w:val="1"/>
    </w:rPr>
  </w:style>
  <w:style w:type="paragraph" w:styleId="BodyText">
    <w:name w:val="Body Text"/>
    <w:basedOn w:val="Normal"/>
    <w:rsid w:val="00CF2319"/>
    <w:rPr>
      <w:b w:val="1"/>
      <w:bCs w:val="1"/>
      <w:lang w:val="lt-LT"/>
    </w:rPr>
  </w:style>
  <w:style w:type="paragraph" w:styleId="BodyTextIndent2">
    <w:name w:val="Body Text Indent 2"/>
    <w:basedOn w:val="Normal"/>
    <w:rsid w:val="00CF2319"/>
    <w:pPr>
      <w:ind w:left="720"/>
    </w:pPr>
    <w:rPr>
      <w:i w:val="1"/>
      <w:iCs w:val="1"/>
      <w:lang w:val="lt-LT"/>
    </w:rPr>
  </w:style>
  <w:style w:type="paragraph" w:styleId="Header">
    <w:name w:val="header"/>
    <w:basedOn w:val="Normal"/>
    <w:rsid w:val="00CF2319"/>
    <w:pPr>
      <w:tabs>
        <w:tab w:val="center" w:pos="4320"/>
        <w:tab w:val="right" w:pos="8640"/>
      </w:tabs>
    </w:pPr>
  </w:style>
  <w:style w:type="paragraph" w:styleId="Footer">
    <w:name w:val="footer"/>
    <w:basedOn w:val="Normal"/>
    <w:rsid w:val="00CF2319"/>
    <w:pPr>
      <w:tabs>
        <w:tab w:val="center" w:pos="4320"/>
        <w:tab w:val="right" w:pos="8640"/>
      </w:tabs>
    </w:pPr>
  </w:style>
  <w:style w:type="character" w:styleId="PageNumber">
    <w:name w:val="page number"/>
    <w:basedOn w:val="DefaultParagraphFont"/>
    <w:rsid w:val="00CF2319"/>
  </w:style>
  <w:style w:type="paragraph" w:styleId="BodyText2">
    <w:name w:val="Body Text 2"/>
    <w:basedOn w:val="Normal"/>
    <w:rsid w:val="00CF2319"/>
    <w:pPr>
      <w:jc w:val="both"/>
    </w:pPr>
    <w:rPr>
      <w:lang w:val="lt-LT"/>
    </w:rPr>
  </w:style>
  <w:style w:type="paragraph" w:styleId="BodyTextIndent3">
    <w:name w:val="Body Text Indent 3"/>
    <w:basedOn w:val="Normal"/>
    <w:rsid w:val="00CF2319"/>
    <w:pPr>
      <w:ind w:left="5040" w:hanging="4320"/>
      <w:jc w:val="both"/>
    </w:pPr>
    <w:rPr>
      <w:lang w:val="lt-LT"/>
    </w:rPr>
  </w:style>
  <w:style w:type="paragraph" w:styleId="WW-BodyText2" w:customStyle="1">
    <w:name w:val="WW-Body Text 2"/>
    <w:basedOn w:val="Normal"/>
    <w:rsid w:val="00CF2319"/>
    <w:pPr>
      <w:suppressAutoHyphens w:val="1"/>
      <w:jc w:val="both"/>
    </w:pPr>
    <w:rPr>
      <w:rFonts w:ascii="Century Gothic" w:hAnsi="Century Gothic"/>
      <w:sz w:val="22"/>
      <w:lang w:eastAsia="ar-SA"/>
    </w:rPr>
  </w:style>
  <w:style w:type="paragraph" w:styleId="NormalWeb">
    <w:name w:val="Normal (Web)"/>
    <w:basedOn w:val="Normal"/>
    <w:rsid w:val="00CF2319"/>
    <w:pPr>
      <w:spacing w:after="100" w:afterAutospacing="1" w:before="100" w:beforeAutospacing="1"/>
    </w:pPr>
    <w:rPr>
      <w:rFonts w:ascii="Arial Unicode MS" w:cs="Arial Unicode MS" w:eastAsia="Arial Unicode MS" w:hAnsi="Arial Unicode MS"/>
    </w:rPr>
  </w:style>
  <w:style w:type="character" w:styleId="Hyperlink">
    <w:name w:val="Hyperlink"/>
    <w:rsid w:val="00CF2319"/>
    <w:rPr>
      <w:color w:val="0000ff"/>
      <w:u w:val="single"/>
    </w:rPr>
  </w:style>
  <w:style w:type="paragraph" w:styleId="BodyText3">
    <w:name w:val="Body Text 3"/>
    <w:basedOn w:val="Normal"/>
    <w:rsid w:val="00CF2319"/>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l0JHmgAMKJCHzPnymQNNLtbN3Q==">AMUW2mX0tY/TUcJr5n39Heo7QP+UGmPlW5dy1GimytIX0o7t0Y9QXrGALE4bWxgtsHaShMMuqW1p4GwjqC5EgvpDMOGGtdgRtWMvgmtslkeY3plVU/XMTGU=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2022-10-18T10:40:00Z</dcterms:created>
  <dc:creator>Vytas</dc:creator>
</cp:coreProperties>
</file>